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0" w:after="0"/>
        <w:ind w:left="0" w:right="0" w:hanging="10"/>
        <w:jc w:val="center"/>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For the quarterly period ended</w:t>
      </w:r>
      <w:r>
        <w:rPr>
          <w:color w:val="000000"/>
        </w:rPr>
        <w:t xml:space="preserve"> </w:t>
      </w:r>
      <w:r>
        <w:rPr>
          <w:rFonts w:ascii="Times New Roman;serif" w:hAnsi="Times New Roman;serif"/>
          <w:b/>
          <w:color w:val="000000"/>
          <w:sz w:val="20"/>
        </w:rPr>
        <w:t>June 28, 2026</w:t>
      </w:r>
    </w:p>
    <w:p>
      <w:pPr>
        <w:pStyle w:val="TextBody"/>
        <w:bidi w:val="0"/>
        <w:spacing w:before="0" w:after="0"/>
        <w:jc w:val="center"/>
        <w:rPr/>
      </w:pPr>
      <w:r>
        <w:rPr/>
      </w:r>
    </w:p>
    <w:p>
      <w:pPr>
        <w:pStyle w:val="TextBody"/>
        <w:bidi w:val="0"/>
        <w:spacing w:lineRule="auto" w:line="288" w:before="0" w:after="0"/>
        <w:ind w:left="0" w:right="0" w:hanging="10"/>
        <w:jc w:val="center"/>
        <w:rPr>
          <w:color w:val="000000"/>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001-40573</w:t>
      </w:r>
    </w:p>
    <w:p>
      <w:pPr>
        <w:pStyle w:val="TextBody"/>
        <w:bidi w:val="0"/>
        <w:spacing w:before="0" w:after="0"/>
        <w:jc w:val="center"/>
        <w:rPr/>
      </w:pPr>
      <w:r>
        <w:rPr/>
      </w:r>
    </w:p>
    <w:p>
      <w:pPr>
        <w:pStyle w:val="TextBody"/>
        <w:bidi w:val="0"/>
        <w:spacing w:before="0" w:after="0"/>
        <w:jc w:val="center"/>
        <w:rPr/>
      </w:pPr>
      <w:r>
        <w:rPr/>
        <w:drawing>
          <wp:inline distT="0" distB="0" distL="0" distR="0">
            <wp:extent cx="17430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Krispy Kreme,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rPr/>
      </w:pPr>
      <w:r>
        <w:rPr/>
      </w:r>
    </w:p>
    <w:tbl>
      <w:tblPr>
        <w:tblW w:w="5713" w:type="dxa"/>
        <w:jc w:val="center"/>
        <w:tblInd w:w="0" w:type="dxa"/>
        <w:tblLayout w:type="fixed"/>
        <w:tblCellMar>
          <w:top w:w="28" w:type="dxa"/>
          <w:left w:w="28" w:type="dxa"/>
          <w:bottom w:w="28" w:type="dxa"/>
          <w:right w:w="28" w:type="dxa"/>
        </w:tblCellMar>
      </w:tblPr>
      <w:tblGrid>
        <w:gridCol w:w="1148"/>
        <w:gridCol w:w="1008"/>
        <w:gridCol w:w="1023"/>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37-1701311</w:t>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2116 Hawkins Street, Suite 101, Charlotte, North Carolina 28203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457-4779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02"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361" w:type="dxa"/>
        <w:jc w:val="left"/>
        <w:tblInd w:w="0" w:type="dxa"/>
        <w:tblLayout w:type="fixed"/>
        <w:tblCellMar>
          <w:top w:w="28" w:type="dxa"/>
          <w:left w:w="28" w:type="dxa"/>
          <w:bottom w:w="28" w:type="dxa"/>
          <w:right w:w="28" w:type="dxa"/>
        </w:tblCellMar>
      </w:tblPr>
      <w:tblGrid>
        <w:gridCol w:w="124"/>
        <w:gridCol w:w="109"/>
        <w:gridCol w:w="109"/>
        <w:gridCol w:w="1147"/>
        <w:gridCol w:w="1147"/>
        <w:gridCol w:w="1155"/>
        <w:gridCol w:w="109"/>
        <w:gridCol w:w="109"/>
        <w:gridCol w:w="109"/>
        <w:gridCol w:w="424"/>
        <w:gridCol w:w="424"/>
        <w:gridCol w:w="42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DNUT</w:t>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2"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53"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109"/>
        <w:gridCol w:w="109"/>
        <w:gridCol w:w="109"/>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345" w:before="200" w:after="283"/>
              <w:ind w:left="0" w:right="0" w:firstLine="60"/>
              <w:jc w:val="both"/>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 had outstanding 173.5 million shares of common stock as of July 30,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21"/>
        <w:gridCol w:w="371"/>
        <w:gridCol w:w="371"/>
        <w:gridCol w:w="372"/>
        <w:gridCol w:w="371"/>
        <w:gridCol w:w="371"/>
        <w:gridCol w:w="2442"/>
        <w:gridCol w:w="2441"/>
        <w:gridCol w:w="2470"/>
        <w:gridCol w:w="167"/>
        <w:gridCol w:w="167"/>
        <w:gridCol w:w="241"/>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781294ebfbd46738ac2f0e45c372155_10">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
              <w:r>
                <w:rPr>
                  <w:rStyle w:val="InternetLink"/>
                  <w:rFonts w:ascii="Times New Roman;serif" w:hAnsi="Times New Roman;serif"/>
                  <w:b w:val="false"/>
                  <w:strike w:val="false"/>
                  <w:dstrike w:val="false"/>
                  <w:color w:val="0000FF"/>
                  <w:sz w:val="20"/>
                  <w:u w:val="none"/>
                  <w:effect w:val="none"/>
                </w:rPr>
                <w:t>Item 1.</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
              <w:r>
                <w:rPr>
                  <w:rStyle w:val="InternetLink"/>
                  <w:rFonts w:ascii="Times New Roman;serif" w:hAnsi="Times New Roman;serif"/>
                  <w:b w:val="false"/>
                  <w:color w:val="0000FF"/>
                  <w:sz w:val="20"/>
                  <w:u w:val="single"/>
                </w:rPr>
                <w:t>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3">
              <w:r>
                <w:rPr>
                  <w:rStyle w:val="InternetLink"/>
                  <w:rFonts w:ascii="Times New Roman;serif" w:hAnsi="Times New Roman;serif"/>
                  <w:b w:val="false"/>
                  <w:strike w:val="false"/>
                  <w:dstrike w:val="false"/>
                  <w:color w:val="000000"/>
                  <w:sz w:val="20"/>
                  <w:u w:val="none"/>
                  <w:effect w:val="none"/>
                </w:rPr>
                <w:t>1</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6">
              <w:r>
                <w:rPr>
                  <w:rStyle w:val="InternetLink"/>
                  <w:rFonts w:ascii="Times New Roman;serif" w:hAnsi="Times New Roman;serif"/>
                  <w:b w:val="false"/>
                  <w:color w:val="0000FF"/>
                  <w:sz w:val="20"/>
                  <w:u w:val="single"/>
                </w:rPr>
                <w:t>Condensed Consolidated Statements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6">
              <w:r>
                <w:rPr>
                  <w:rStyle w:val="InternetLink"/>
                  <w:rFonts w:ascii="Times New Roman;serif" w:hAnsi="Times New Roman;serif"/>
                  <w:b w:val="false"/>
                  <w:strike w:val="false"/>
                  <w:dstrike w:val="false"/>
                  <w:color w:val="000000"/>
                  <w:sz w:val="20"/>
                  <w:u w:val="none"/>
                  <w:effect w:val="none"/>
                </w:rPr>
                <w:t>1</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9">
              <w:r>
                <w:rPr>
                  <w:rStyle w:val="InternetLink"/>
                  <w:rFonts w:ascii="Times New Roman;serif" w:hAnsi="Times New Roman;serif"/>
                  <w:b w:val="false"/>
                  <w:color w:val="0000FF"/>
                  <w:sz w:val="20"/>
                  <w:u w:val="single"/>
                </w:rPr>
                <w:t>Condensed Consolidated Statements of Comprehensive (Loss)/Income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9">
              <w:r>
                <w:rPr>
                  <w:rStyle w:val="InternetLink"/>
                  <w:rFonts w:ascii="Times New Roman;serif" w:hAnsi="Times New Roman;serif"/>
                  <w:b w:val="false"/>
                  <w:strike w:val="false"/>
                  <w:dstrike w:val="false"/>
                  <w:color w:val="000000"/>
                  <w:sz w:val="20"/>
                  <w:u w:val="none"/>
                  <w:effect w:val="none"/>
                </w:rPr>
                <w:t>2</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22">
              <w:r>
                <w:rPr>
                  <w:rStyle w:val="InternetLink"/>
                  <w:rFonts w:ascii="Times New Roman;serif" w:hAnsi="Times New Roman;serif"/>
                  <w:b w:val="false"/>
                  <w:color w:val="0000FF"/>
                  <w:sz w:val="20"/>
                  <w:u w:val="single"/>
                </w:rPr>
                <w:t xml:space="preserve">Condensed Consolidated Balance Sheets </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22">
              <w:r>
                <w:rPr>
                  <w:rStyle w:val="InternetLink"/>
                  <w:rFonts w:ascii="Times New Roman;serif" w:hAnsi="Times New Roman;serif"/>
                  <w:b w:val="false"/>
                  <w:strike w:val="false"/>
                  <w:dstrike w:val="false"/>
                  <w:color w:val="000000"/>
                  <w:sz w:val="20"/>
                  <w:u w:val="none"/>
                  <w:effect w:val="none"/>
                </w:rPr>
                <w:t>3</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25">
              <w:r>
                <w:rPr>
                  <w:rStyle w:val="InternetLink"/>
                  <w:rFonts w:ascii="Times New Roman;serif" w:hAnsi="Times New Roman;serif"/>
                  <w:b w:val="false"/>
                  <w:color w:val="0000FF"/>
                  <w:sz w:val="20"/>
                  <w:u w:val="single"/>
                </w:rPr>
                <w:t>Condensed Consolidated Statements of Changes in Shareholders’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25">
              <w:r>
                <w:rPr>
                  <w:rStyle w:val="InternetLink"/>
                  <w:rFonts w:ascii="Times New Roman;serif" w:hAnsi="Times New Roman;serif"/>
                  <w:b w:val="false"/>
                  <w:strike w:val="false"/>
                  <w:dstrike w:val="false"/>
                  <w:color w:val="000000"/>
                  <w:sz w:val="20"/>
                  <w:u w:val="none"/>
                  <w:effect w:val="none"/>
                </w:rPr>
                <w:t>4</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28">
              <w:r>
                <w:rPr>
                  <w:rStyle w:val="InternetLink"/>
                  <w:rFonts w:ascii="Times New Roman;serif" w:hAnsi="Times New Roman;serif"/>
                  <w:b w:val="false"/>
                  <w:color w:val="0000FF"/>
                  <w:sz w:val="20"/>
                  <w:u w:val="single"/>
                </w:rPr>
                <w:t>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28">
              <w:r>
                <w:rPr>
                  <w:rStyle w:val="InternetLink"/>
                  <w:rFonts w:ascii="Times New Roman;serif" w:hAnsi="Times New Roman;serif"/>
                  <w:b w:val="false"/>
                  <w:strike w:val="false"/>
                  <w:dstrike w:val="false"/>
                  <w:color w:val="000000"/>
                  <w:sz w:val="20"/>
                  <w:u w:val="none"/>
                  <w:effect w:val="none"/>
                </w:rPr>
                <w:t>6</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31">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31">
              <w:r>
                <w:rPr>
                  <w:rStyle w:val="InternetLink"/>
                  <w:rFonts w:ascii="Times New Roman;serif" w:hAnsi="Times New Roman;serif"/>
                  <w:b w:val="false"/>
                  <w:strike w:val="false"/>
                  <w:dstrike w:val="false"/>
                  <w:color w:val="000000"/>
                  <w:sz w:val="20"/>
                  <w:u w:val="none"/>
                  <w:effect w:val="none"/>
                </w:rPr>
                <w:t>7</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94">
              <w:r>
                <w:rPr>
                  <w:rStyle w:val="InternetLink"/>
                  <w:rFonts w:ascii="Times New Roman;serif" w:hAnsi="Times New Roman;serif"/>
                  <w:b w:val="false"/>
                  <w:strike w:val="false"/>
                  <w:dstrike w:val="false"/>
                  <w:color w:val="0000FF"/>
                  <w:sz w:val="20"/>
                  <w:u w:val="none"/>
                  <w:effect w:val="none"/>
                </w:rPr>
                <w:t>Item 2.</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94">
              <w:r>
                <w:rPr>
                  <w:rStyle w:val="InternetLink"/>
                  <w:rFonts w:ascii="Times New Roman;serif" w:hAnsi="Times New Roman;serif"/>
                  <w:b w:val="false"/>
                  <w:strike w:val="false"/>
                  <w:dstrike w:val="false"/>
                  <w:color w:val="000000"/>
                  <w:sz w:val="20"/>
                  <w:u w:val="none"/>
                  <w:effect w:val="none"/>
                </w:rPr>
                <w:t>32</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9">
              <w:r>
                <w:rPr>
                  <w:rStyle w:val="InternetLink"/>
                  <w:rFonts w:ascii="Times New Roman;serif" w:hAnsi="Times New Roman;serif"/>
                  <w:b w:val="false"/>
                  <w:strike w:val="false"/>
                  <w:dstrike w:val="false"/>
                  <w:color w:val="0000FF"/>
                  <w:sz w:val="20"/>
                  <w:u w:val="none"/>
                  <w:effect w:val="none"/>
                </w:rPr>
                <w:t>Item 3</w:t>
              </w:r>
            </w:hyperlink>
            <w:r>
              <w:rPr>
                <w:rFonts w:ascii="Times New Roman;serif" w:hAnsi="Times New Roman;serif"/>
                <w:b w:val="false"/>
                <w:color w:val="0000FF"/>
                <w:sz w:val="20"/>
              </w:rPr>
              <w:t>.</w:t>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21">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21">
              <w:r>
                <w:rPr>
                  <w:rStyle w:val="InternetLink"/>
                  <w:rFonts w:ascii="Times New Roman;serif" w:hAnsi="Times New Roman;serif"/>
                  <w:b w:val="false"/>
                  <w:strike w:val="false"/>
                  <w:dstrike w:val="false"/>
                  <w:color w:val="000000"/>
                  <w:sz w:val="20"/>
                  <w:u w:val="none"/>
                  <w:effect w:val="none"/>
                </w:rPr>
                <w:t>53</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24">
              <w:r>
                <w:rPr>
                  <w:rStyle w:val="InternetLink"/>
                  <w:rFonts w:ascii="Times New Roman;serif" w:hAnsi="Times New Roman;serif"/>
                  <w:b w:val="false"/>
                  <w:strike w:val="false"/>
                  <w:dstrike w:val="false"/>
                  <w:color w:val="0000FF"/>
                  <w:sz w:val="20"/>
                  <w:u w:val="none"/>
                  <w:effect w:val="none"/>
                </w:rPr>
                <w:t>Item 4</w:t>
              </w:r>
            </w:hyperlink>
            <w:r>
              <w:rPr>
                <w:rFonts w:ascii="Times New Roman;serif" w:hAnsi="Times New Roman;serif"/>
                <w:b w:val="false"/>
                <w:color w:val="0000FF"/>
                <w:sz w:val="20"/>
              </w:rPr>
              <w:t>.</w:t>
            </w:r>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24">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24">
              <w:r>
                <w:rPr>
                  <w:rStyle w:val="InternetLink"/>
                  <w:rFonts w:ascii="Times New Roman;serif" w:hAnsi="Times New Roman;serif"/>
                  <w:b w:val="false"/>
                  <w:strike w:val="false"/>
                  <w:dstrike w:val="false"/>
                  <w:color w:val="000000"/>
                  <w:sz w:val="20"/>
                  <w:u w:val="none"/>
                  <w:effect w:val="none"/>
                </w:rPr>
                <w:t>54</w:t>
              </w:r>
            </w:hyperlink>
          </w:p>
        </w:tc>
      </w:tr>
      <w:tr>
        <w:trP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781294ebfbd46738ac2f0e45c372155_127">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0">
              <w:r>
                <w:rPr>
                  <w:rStyle w:val="InternetLink"/>
                  <w:rFonts w:ascii="Times New Roman;serif" w:hAnsi="Times New Roman;serif"/>
                  <w:b w:val="false"/>
                  <w:strike w:val="false"/>
                  <w:dstrike w:val="false"/>
                  <w:color w:val="0000FF"/>
                  <w:sz w:val="20"/>
                  <w:u w:val="none"/>
                  <w:effect w:val="none"/>
                </w:rPr>
                <w:t>Item 1.</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0">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30">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3">
              <w:r>
                <w:rPr>
                  <w:rStyle w:val="InternetLink"/>
                  <w:rFonts w:ascii="Times New Roman;serif" w:hAnsi="Times New Roman;serif"/>
                  <w:b w:val="false"/>
                  <w:strike w:val="false"/>
                  <w:dstrike w:val="false"/>
                  <w:color w:val="0000FF"/>
                  <w:sz w:val="20"/>
                  <w:u w:val="none"/>
                  <w:effect w:val="none"/>
                </w:rPr>
                <w:t>Item 1A.</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3">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33">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6">
              <w:r>
                <w:rPr>
                  <w:rStyle w:val="InternetLink"/>
                  <w:rFonts w:ascii="Times New Roman;serif" w:hAnsi="Times New Roman;serif"/>
                  <w:b w:val="false"/>
                  <w:strike w:val="false"/>
                  <w:dstrike w:val="false"/>
                  <w:color w:val="0000FF"/>
                  <w:sz w:val="20"/>
                  <w:u w:val="none"/>
                  <w:effect w:val="none"/>
                </w:rPr>
                <w:t>Item 2.</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6">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36">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9">
              <w:r>
                <w:rPr>
                  <w:rStyle w:val="InternetLink"/>
                  <w:rFonts w:ascii="Times New Roman;serif" w:hAnsi="Times New Roman;serif"/>
                  <w:b w:val="false"/>
                  <w:strike w:val="false"/>
                  <w:dstrike w:val="false"/>
                  <w:color w:val="0000FF"/>
                  <w:sz w:val="20"/>
                  <w:u w:val="none"/>
                  <w:effect w:val="none"/>
                </w:rPr>
                <w:t>Item 3.</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39">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39">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2">
              <w:r>
                <w:rPr>
                  <w:rStyle w:val="InternetLink"/>
                  <w:rFonts w:ascii="Times New Roman;serif" w:hAnsi="Times New Roman;serif"/>
                  <w:b w:val="false"/>
                  <w:strike w:val="false"/>
                  <w:dstrike w:val="false"/>
                  <w:color w:val="0000FF"/>
                  <w:sz w:val="20"/>
                  <w:u w:val="none"/>
                  <w:effect w:val="none"/>
                </w:rPr>
                <w:t>Item 4.</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2">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42">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5">
              <w:r>
                <w:rPr>
                  <w:rStyle w:val="InternetLink"/>
                  <w:rFonts w:ascii="Times New Roman;serif" w:hAnsi="Times New Roman;serif"/>
                  <w:b w:val="false"/>
                  <w:strike w:val="false"/>
                  <w:dstrike w:val="false"/>
                  <w:color w:val="0000FF"/>
                  <w:sz w:val="20"/>
                  <w:u w:val="none"/>
                  <w:effect w:val="none"/>
                </w:rPr>
                <w:t>Item 5.</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5">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45">
              <w:r>
                <w:rPr>
                  <w:rStyle w:val="InternetLink"/>
                  <w:rFonts w:ascii="Times New Roman;serif" w:hAnsi="Times New Roman;serif"/>
                  <w:b w:val="false"/>
                  <w:strike w:val="false"/>
                  <w:dstrike w:val="false"/>
                  <w:color w:val="000000"/>
                  <w:sz w:val="20"/>
                  <w:u w:val="none"/>
                  <w:effect w:val="none"/>
                </w:rPr>
                <w:t>55</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8">
              <w:r>
                <w:rPr>
                  <w:rStyle w:val="InternetLink"/>
                  <w:rFonts w:ascii="Times New Roman;serif" w:hAnsi="Times New Roman;serif"/>
                  <w:b w:val="false"/>
                  <w:strike w:val="false"/>
                  <w:dstrike w:val="false"/>
                  <w:color w:val="0000FF"/>
                  <w:sz w:val="20"/>
                  <w:u w:val="none"/>
                  <w:effect w:val="none"/>
                </w:rPr>
                <w:t>Item 6.</w:t>
              </w:r>
            </w:hyperlink>
          </w:p>
        </w:tc>
        <w:tc>
          <w:tcPr>
            <w:tcW w:w="73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48">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48">
              <w:r>
                <w:rPr>
                  <w:rStyle w:val="InternetLink"/>
                  <w:rFonts w:ascii="Times New Roman;serif" w:hAnsi="Times New Roman;serif"/>
                  <w:b w:val="false"/>
                  <w:strike w:val="false"/>
                  <w:dstrike w:val="false"/>
                  <w:color w:val="000000"/>
                  <w:sz w:val="20"/>
                  <w:u w:val="none"/>
                  <w:effect w:val="none"/>
                </w:rPr>
                <w:t>56</w:t>
              </w:r>
            </w:hyperlink>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781294ebfbd46738ac2f0e45c372155_151">
              <w:r>
                <w:rPr>
                  <w:rStyle w:val="InternetLink"/>
                  <w:rFonts w:ascii="Times New Roman;serif" w:hAnsi="Times New Roman;serif"/>
                  <w:b/>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81294ebfbd46738ac2f0e45c372155_151">
              <w:r>
                <w:rPr>
                  <w:rStyle w:val="InternetLink"/>
                  <w:rFonts w:ascii="Times New Roman;serif" w:hAnsi="Times New Roman;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6938"/>
          <w:sz w:val="22"/>
        </w:rPr>
      </w:pPr>
      <w:r>
        <w:rPr>
          <w:rFonts w:ascii="Times New Roman;serif" w:hAnsi="Times New Roman;serif"/>
          <w:b/>
          <w:color w:val="006938"/>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6938"/>
          <w:sz w:val="20"/>
        </w:rPr>
        <w:t>Item 1.</w:t>
      </w:r>
      <w:r>
        <w:rPr>
          <w:color w:val="006938"/>
        </w:rPr>
        <w:t xml:space="preserve"> </w:t>
      </w:r>
      <w:r>
        <w:rPr>
          <w:rFonts w:ascii="Times New Roman;serif" w:hAnsi="Times New Roman;serif"/>
          <w:b/>
          <w:color w:val="006938"/>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1241"/>
        <w:gridCol w:w="879"/>
        <w:gridCol w:w="885"/>
        <w:gridCol w:w="283"/>
        <w:gridCol w:w="1110"/>
        <w:gridCol w:w="146"/>
        <w:gridCol w:w="109"/>
        <w:gridCol w:w="109"/>
        <w:gridCol w:w="109"/>
        <w:gridCol w:w="272"/>
        <w:gridCol w:w="1134"/>
        <w:gridCol w:w="140"/>
        <w:gridCol w:w="109"/>
        <w:gridCol w:w="109"/>
        <w:gridCol w:w="109"/>
        <w:gridCol w:w="283"/>
        <w:gridCol w:w="1110"/>
        <w:gridCol w:w="146"/>
        <w:gridCol w:w="109"/>
        <w:gridCol w:w="109"/>
        <w:gridCol w:w="109"/>
        <w:gridCol w:w="270"/>
        <w:gridCol w:w="1124"/>
        <w:gridCol w:w="201"/>
      </w:tblGrid>
      <w:tr>
        <w:trPr/>
        <w:tc>
          <w:tcPr>
            <w:tcW w:w="12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(26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(26 weeks)</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315,674 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371,377 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673,112 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737,856 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330,995</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379,767</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698,029</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754,951</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86,037 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92,627 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174,367 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210,712 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346,975 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409,555 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62,920 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111,728 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122,325 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406,932 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407,094 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Gain on refranchising,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69,683 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(10,976)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(434,551)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(14,601)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(454,820)</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32,892 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(24,090)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(461,571)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(43,180)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(497,643)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(20,311)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(435,260)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(43,095)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(468,544)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8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(Loss)/Income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1278"/>
        <w:gridCol w:w="1068"/>
        <w:gridCol w:w="1088"/>
        <w:gridCol w:w="272"/>
        <w:gridCol w:w="991"/>
        <w:gridCol w:w="140"/>
        <w:gridCol w:w="109"/>
        <w:gridCol w:w="109"/>
        <w:gridCol w:w="109"/>
        <w:gridCol w:w="259"/>
        <w:gridCol w:w="1073"/>
        <w:gridCol w:w="133"/>
        <w:gridCol w:w="109"/>
        <w:gridCol w:w="109"/>
        <w:gridCol w:w="109"/>
        <w:gridCol w:w="272"/>
        <w:gridCol w:w="991"/>
        <w:gridCol w:w="140"/>
        <w:gridCol w:w="109"/>
        <w:gridCol w:w="109"/>
        <w:gridCol w:w="109"/>
        <w:gridCol w:w="258"/>
        <w:gridCol w:w="1065"/>
        <w:gridCol w:w="196"/>
      </w:tblGrid>
      <w:tr>
        <w:trPr/>
        <w:tc>
          <w:tcPr>
            <w:tcW w:w="127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(13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(13 weeks)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(26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(26 weeks)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net of income taxes:</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 xml:space="preserve">Unrealized income/(loss) on cash flow hedges, net of income taxes </w:t>
            </w:r>
            <w:r>
              <w:rPr>
                <w:rFonts w:ascii="Times New Roman;serif" w:hAnsi="Times New Roman;serif"/>
                <w:b w:val="false"/>
                <w:color w:val="000000"/>
                <w:sz w:val="10"/>
              </w:rPr>
              <w:t>(1)</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23,935</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27,854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(16,722)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(417,183)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(33,369)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(446,669)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Total comprehensive loss attributable to noncontrolling interest</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(5,190)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Krispy Kreme, Inc.</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(17,193)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(411,993)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(33,738)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(441,431)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of income tax (expense)/benefit of ($0.6 million) and ($1.9 million) for the quarter and two quarters ended June 28, 2026, respectively, and $0.6 million and $2.1 million for the quarter and two quarters ended June 29, 2025, respectively.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0205" w:type="dxa"/>
        <w:jc w:val="center"/>
        <w:tblInd w:w="0" w:type="dxa"/>
        <w:tblLayout w:type="fixed"/>
        <w:tblCellMar>
          <w:top w:w="28" w:type="dxa"/>
          <w:left w:w="28" w:type="dxa"/>
          <w:bottom w:w="28" w:type="dxa"/>
          <w:right w:w="28" w:type="dxa"/>
        </w:tblCellMar>
      </w:tblPr>
      <w:tblGrid>
        <w:gridCol w:w="2933"/>
        <w:gridCol w:w="2101"/>
        <w:gridCol w:w="2069"/>
        <w:gridCol w:w="228"/>
        <w:gridCol w:w="1071"/>
        <w:gridCol w:w="117"/>
        <w:gridCol w:w="109"/>
        <w:gridCol w:w="109"/>
        <w:gridCol w:w="109"/>
        <w:gridCol w:w="211"/>
        <w:gridCol w:w="991"/>
        <w:gridCol w:w="157"/>
      </w:tblGrid>
      <w:tr>
        <w:trPr/>
        <w:tc>
          <w:tcPr>
            <w:tcW w:w="293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(Unaudited) 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165,419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174,454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2,363,323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2,592,959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SHAREHOLDERS’ EQUITY</w:t>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465,121</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457,280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1,743,544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1,915,998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mezzanine equity</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24,181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Common stock, $0.01 par value; 300,000 shares authorized as of both June 28, 2026 and December 28, 2025; 172,744 and 171,555 shares issued and outstanding as of June 28, 2026 and December 28, 2025, respectively</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1,474,652 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 net of income tax</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 attributable to Krispy Kreme, Inc.</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618,055</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650,123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619,779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652,780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shareholders’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2,363,323</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2,592,959</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4410" w:type="dxa"/>
        <w:jc w:val="left"/>
        <w:tblInd w:w="0" w:type="dxa"/>
        <w:tblLayout w:type="fixed"/>
        <w:tblCellMar>
          <w:top w:w="28" w:type="dxa"/>
          <w:left w:w="28" w:type="dxa"/>
          <w:bottom w:w="28" w:type="dxa"/>
          <w:right w:w="28" w:type="dxa"/>
        </w:tblCellMar>
      </w:tblPr>
      <w:tblGrid>
        <w:gridCol w:w="664"/>
        <w:gridCol w:w="268"/>
        <w:gridCol w:w="269"/>
        <w:gridCol w:w="375"/>
        <w:gridCol w:w="376"/>
        <w:gridCol w:w="336"/>
        <w:gridCol w:w="109"/>
        <w:gridCol w:w="109"/>
        <w:gridCol w:w="109"/>
        <w:gridCol w:w="196"/>
        <w:gridCol w:w="571"/>
        <w:gridCol w:w="109"/>
        <w:gridCol w:w="109"/>
        <w:gridCol w:w="109"/>
        <w:gridCol w:w="109"/>
        <w:gridCol w:w="196"/>
        <w:gridCol w:w="886"/>
        <w:gridCol w:w="109"/>
        <w:gridCol w:w="109"/>
        <w:gridCol w:w="109"/>
        <w:gridCol w:w="109"/>
        <w:gridCol w:w="221"/>
        <w:gridCol w:w="645"/>
        <w:gridCol w:w="125"/>
        <w:gridCol w:w="109"/>
        <w:gridCol w:w="109"/>
        <w:gridCol w:w="109"/>
        <w:gridCol w:w="211"/>
        <w:gridCol w:w="616"/>
        <w:gridCol w:w="119"/>
        <w:gridCol w:w="109"/>
        <w:gridCol w:w="109"/>
        <w:gridCol w:w="109"/>
        <w:gridCol w:w="196"/>
        <w:gridCol w:w="581"/>
        <w:gridCol w:w="109"/>
        <w:gridCol w:w="109"/>
        <w:gridCol w:w="109"/>
        <w:gridCol w:w="109"/>
        <w:gridCol w:w="246"/>
        <w:gridCol w:w="547"/>
        <w:gridCol w:w="138"/>
        <w:gridCol w:w="109"/>
        <w:gridCol w:w="109"/>
        <w:gridCol w:w="109"/>
        <w:gridCol w:w="196"/>
        <w:gridCol w:w="751"/>
        <w:gridCol w:w="109"/>
        <w:gridCol w:w="109"/>
        <w:gridCol w:w="109"/>
        <w:gridCol w:w="109"/>
        <w:gridCol w:w="268"/>
        <w:gridCol w:w="782"/>
        <w:gridCol w:w="151"/>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w:t>
              <w:br/>
              <w:t>Note</w:t>
              <w:br/>
              <w:t xml:space="preserve">Receivable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Other Comprehensive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Income/(Loss)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Retained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b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br/>
              <w:t>Income/(Loss) on</w:t>
              <w:br/>
              <w:t>Cash Flow</w:t>
              <w:br/>
              <w:t xml:space="preserve">Hedges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 on Employee</w:t>
              <w:br/>
              <w:t xml:space="preserve">Benefit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28,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171,555</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(1,791)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(821,387)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652,779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March 29, 2026</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for the quarter ended March 29, 2026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by shareholders, net of loans issued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shares by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to redemption value of redeemable noncontrolling interest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29,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172,280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1,471,361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(844,171)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633,263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June 28, 2026</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income/(loss) for the quarter ended June 28, 2026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shareholders, net of loans issued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2026</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172,744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1,474,652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8,318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(864,482)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619,779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Krispy Kreme,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Shareholders’ Equity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per share amounts) </w:t>
      </w:r>
    </w:p>
    <w:tbl>
      <w:tblPr>
        <w:tblW w:w="14565" w:type="dxa"/>
        <w:jc w:val="left"/>
        <w:tblInd w:w="0" w:type="dxa"/>
        <w:tblLayout w:type="fixed"/>
        <w:tblCellMar>
          <w:top w:w="28" w:type="dxa"/>
          <w:left w:w="28" w:type="dxa"/>
          <w:bottom w:w="28" w:type="dxa"/>
          <w:right w:w="28" w:type="dxa"/>
        </w:tblCellMar>
      </w:tblPr>
      <w:tblGrid>
        <w:gridCol w:w="664"/>
        <w:gridCol w:w="268"/>
        <w:gridCol w:w="269"/>
        <w:gridCol w:w="375"/>
        <w:gridCol w:w="376"/>
        <w:gridCol w:w="336"/>
        <w:gridCol w:w="109"/>
        <w:gridCol w:w="109"/>
        <w:gridCol w:w="109"/>
        <w:gridCol w:w="196"/>
        <w:gridCol w:w="571"/>
        <w:gridCol w:w="109"/>
        <w:gridCol w:w="109"/>
        <w:gridCol w:w="109"/>
        <w:gridCol w:w="109"/>
        <w:gridCol w:w="196"/>
        <w:gridCol w:w="886"/>
        <w:gridCol w:w="109"/>
        <w:gridCol w:w="109"/>
        <w:gridCol w:w="109"/>
        <w:gridCol w:w="109"/>
        <w:gridCol w:w="221"/>
        <w:gridCol w:w="645"/>
        <w:gridCol w:w="125"/>
        <w:gridCol w:w="109"/>
        <w:gridCol w:w="109"/>
        <w:gridCol w:w="109"/>
        <w:gridCol w:w="196"/>
        <w:gridCol w:w="661"/>
        <w:gridCol w:w="109"/>
        <w:gridCol w:w="109"/>
        <w:gridCol w:w="109"/>
        <w:gridCol w:w="109"/>
        <w:gridCol w:w="206"/>
        <w:gridCol w:w="571"/>
        <w:gridCol w:w="109"/>
        <w:gridCol w:w="109"/>
        <w:gridCol w:w="109"/>
        <w:gridCol w:w="109"/>
        <w:gridCol w:w="246"/>
        <w:gridCol w:w="547"/>
        <w:gridCol w:w="138"/>
        <w:gridCol w:w="109"/>
        <w:gridCol w:w="109"/>
        <w:gridCol w:w="109"/>
        <w:gridCol w:w="196"/>
        <w:gridCol w:w="751"/>
        <w:gridCol w:w="109"/>
        <w:gridCol w:w="109"/>
        <w:gridCol w:w="109"/>
        <w:gridCol w:w="109"/>
        <w:gridCol w:w="268"/>
        <w:gridCol w:w="782"/>
        <w:gridCol w:w="151"/>
        <w:gridCol w:w="109"/>
        <w:gridCol w:w="109"/>
        <w:gridCol w:w="109"/>
        <w:gridCol w:w="196"/>
        <w:gridCol w:w="886"/>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Shareholder</w:t>
              <w:br/>
              <w:t>Note</w:t>
              <w:br/>
              <w:t xml:space="preserve">Receivable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Retained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br/>
              <w:t xml:space="preserve">Outstanding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 xml:space="preserve">Adjustment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w:t>
              <w:br/>
              <w:t>Income/(Loss) on</w:t>
              <w:br/>
              <w:t>Cash Flow</w:t>
              <w:br/>
              <w:t xml:space="preserve">Hedges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Unrealized  Loss on Employee</w:t>
              <w:br/>
              <w:t xml:space="preserve">Benefit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29, 2024</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170,060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1,466,508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2,598</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1,137,135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March 30, 2025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(loss)/income for the quarter ended March 30, 2025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stock and equivalents ($0.035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to redemption value of redeemable noncontrolling interest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30,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170,300</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1,464,593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(338,891)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1,099,637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(loss)/income for the quarter ended June 29, 2025</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for the quarter ended June 29, 2025 before reclassifications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from AOCI</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stock and equivalents ($0.035 per share)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RSUs, net of shares withheld</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29, 2025</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170,964</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1,468,555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(774,164)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687,183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w:t>
      </w:r>
    </w:p>
    <w:tbl>
      <w:tblPr>
        <w:tblW w:w="10205" w:type="dxa"/>
        <w:jc w:val="left"/>
        <w:tblInd w:w="0" w:type="dxa"/>
        <w:tblLayout w:type="fixed"/>
        <w:tblCellMar>
          <w:top w:w="28" w:type="dxa"/>
          <w:left w:w="28" w:type="dxa"/>
          <w:bottom w:w="28" w:type="dxa"/>
          <w:right w:w="28" w:type="dxa"/>
        </w:tblCellMar>
      </w:tblPr>
      <w:tblGrid>
        <w:gridCol w:w="2402"/>
        <w:gridCol w:w="2111"/>
        <w:gridCol w:w="2122"/>
        <w:gridCol w:w="306"/>
        <w:gridCol w:w="1105"/>
        <w:gridCol w:w="170"/>
        <w:gridCol w:w="109"/>
        <w:gridCol w:w="109"/>
        <w:gridCol w:w="109"/>
        <w:gridCol w:w="283"/>
        <w:gridCol w:w="1153"/>
        <w:gridCol w:w="226"/>
      </w:tblGrid>
      <w:tr>
        <w:trPr/>
        <w:tc>
          <w:tcPr>
            <w:tcW w:w="240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 (26 weeks)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 (26 weeks)</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OPERATING ACTIVITIES:</w:t>
            </w:r>
          </w:p>
        </w:tc>
        <w:tc>
          <w:tcPr>
            <w:tcW w:w="1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(474,523)</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by/(used for) operating activities:</w:t>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 impairments and lease termination charges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Insomnia Cookies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refranchising, net</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acquisition of equity method investment</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sale-leaseback</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accounts and notes receivable allowances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write-off</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excluding business acquisitions and divestitures, and foreign currency translation adjustments:</w:t>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non-current assets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obligations and deferred credits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operating activities</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9,961</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(53,377)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INVESTING ACTIVITIES:</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assets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sale-leaseback</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refranchising transactions</w:t>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Purchase/proceeds of equity method investment</w:t>
            </w:r>
          </w:p>
        </w:tc>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w:t>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minority interests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divestiture of Insomnia Cookies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received from loans to franchisees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redeemable noncontrolling interest</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investing activities</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67,989</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30,937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PROVIDED BY/(USED FOR) FINANCING ACTIVITIES:</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debt</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lease obligations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costs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structured payables</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structured payables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(199,228)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 by shareholders, net of loans issued</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shareholders</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repurchase and retirement of common stock</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by/(used for) financing activities</w:t>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(98,902)</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16,248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22,142</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21,823</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accrual for property and equipment</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 receivable issued in connection with refranchising</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at end of period:</w:t>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22,142</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21,823</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Krispy Kreme,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(Unaudited)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(dollars in thousands, unless otherwise specified)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6938"/>
          <w:sz w:val="20"/>
        </w:rPr>
        <w:t>Note 1 — Description of Business and Summary of Significant Accounting Policies</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Krispy Kreme, Inc. (“KKI”) and its subsidiaries (collectively, the “Company” or “Krispy Kreme”) operate through an omni-channel business model to produce doughnuts and deliver fresh doughnut experiences for Doughnut Shops, fresh delivery doors, and digital channels, expanding consumer access to the Krispy Kreme brand.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has three reportable operating segments: 1) U.S., which includes all Company-owned operations in the U.S., and W.K.S. Krispy Kreme, LLC (“W.K.S. Krispy Kreme”) through the date of deconsolidation; 2) International, which includes Company-owned operations in the U.K., Ireland, Australia, New Zealand, Mexico, and Canada, as well as Japan through the date of disposition; and 3) Market Development, which includes franchise operations across the globe, including Krispy Kreme Doughnut Japan Co., Ltd (“Krispy Kreme Japan”) after March 2, 2026 and W.K.S. Krispy Kreme after March 23, 2026, and also includes Company-owned operations in France through Krispy Kreme Doughnuts France SAS ("Krispy Kreme France") after May 25, 2026. 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 and the Company’s acquisition of Krispy Kreme France. Unallocated corporate costs are excluded from the Company’s measurement of segment performance.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Basis of Presentation and Consolidation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and reports financial information on a 52- or 53-week year with the fiscal year ending on the Sunday closest to December 31. The quarters ended June 28, 2026 and June 29, 2025 were both 13-week periods.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KKI and its subsidiaries and have been prepared in accordance with accounting principles generally accepted in the United States of America (“GAAP”) for interim financial information and pursuant to the rules and regulations of the U.S. Securities and Exchange Commission (“SEC”). Accordingly, these interim financial statements do not include all information and footnotes required under GAAP for complete financial statements. In the opinion of management, the accompanying unaudited Condensed Consolidated Financial Statements contain all adjustments, consisting of only normal recurring adjustments, necessary for a fair statement of results of operations, balance sheet, cash flows, and shareholders’ equity for the periods presented. All significant intercompany balances and transactions among KKI and its subsidiaries have been eliminated in consolidation. Investments in entities over which the Company has the ability to exercise significant influence but which it does not control and whose financial statements are not otherwise required to be consolidated, are accounted for using the equity method.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should be read in conjunction with the Consolidated Financial Statements and notes thereto as of and for the year ended December 28, 2025, included in KKI’s Annual Report on Form 10-K for the year then ended (the “Annual Report on Form 10-K”). The Condensed Consolidated Balance Sheet as of December 28, 2025 was derived from audited annual financial statements but does not contain all of the footnote disclosures from the annual financial statements. The results of operations for the quarter and two quarters ended June 28, 2026 are not necessarily indicative of the results of operations that may be achieved for the entire fiscal year ending January 3, 2027.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 in the Company’s Condensed Consolidated Financial Statements represents the interest in subsidiaries held by employee shareholders, all of which were purchased by the Company during the quarter ended March 29, 2026. Employee shareholders held noncontrolling interests in the consolidated subsidiaries Krispy Kreme Holdings Pty Ltd. (“KK Australia”), Krispy Kreme Mexico Holding S.A.P.I. de C.V. (“KK Mexico”), and Krispy Kreme Japan prior to disposition. Since the Company consolidates the financial statements of these subsidiaries, the noncontrolling owners’ share of net assets and results of operations are deducted and reported as noncontrolling interest in the Condensed Consolidated Balance Sheets and as net income/(loss) attributable to noncontrolling interest in the Condensed Consolidated Statements of Operations and comprehensive income attributable to noncontrolling interest in the Condensed Consolidated Statements of Comprehensive Loss/(Income).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Summary of Significant Accounting Policies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1, Description of Business and Summary of Significant Accounting Policies, to the Consolidated Financial Statements for the year ended December 28, 2025 included in the Annual Report on Form 10-K. There were no material changes to the significant accounting policies during the quarter ended June 28, 2026.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Termination of the Business Relationship Agreement with McDonald’s USA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24, 2025, the Company and McDonald’s USA, LLC (“McDonald’s USA”) announced that the companies had jointly decided to terminate the Business Relationship Agreement between Krispy Kreme Doughnut Corporation and McDonald’s USA (the “Business Relationship Agreement”) effective July 2, 2025 (the “Termination Effective Date”). Effective as of the Termination Effective Date, neither party has any further obligations to the other party under the Business Relationship Agreement except for obligations related to confidentiality, indemnification, and certain other miscellaneous provisions that expressly survive termination.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Other Asset Impairments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net assets acquired in a business combination. For each reporting unit, the Company assesses goodwill for impairment annually at the beginning of the fourth quarter or more frequently when impairment indicators are present. If the carrying value of the reporting unit exceeds its fair value, the Company recognizes an impairment charge for the difference up to the carrying value of the allocated 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29, 2025, management identified impairment indicators that required a quantitative assessment of goodwill outside of management’s routine annual assessment. These indicators included that during the two quarters ended June 29, 2025, the Company experienced a decline in its stock price and market capitalization, which became significant and sustained during the quarter ended June 29, 2025. In addition, the Company’s operating results for the quarter were below previous forecasts. Lastly, the Company updated its forecasts for the full year following termination of the Business Relationship Agreement with McDonald’s USA during the quarter, and the updated forecasts were below previous forecasts. After completing the quantitative impairment test, management concluded that the estimated fair values of the U.S., Krispy Kreme Holding U.K. Ltd. (“KK U.K.”), and KK Australia reporting units had declined below their carrying values, and management recognized a cumulative, non-cash, partial goodwill impairment charge of $356.0 million (gross of income taxes) in the quarter ended June 29,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reporting units were based on estimates and assumptions that are considered Level 3 inputs under the fair value hierarchy. In estimating the fair values of the reporting units, management reconciles the fair value of the Company to the Company’s market capitalization. Consistent with the quantitative assessment for the fiscal year ended December 29, 2024, management utilized a discounted cash flow approach and a market approach to determine fair values, allocating 50% to each approach. These calculations require management to make assumptions and to apply judgment when estimating future cash flows and asset fair values, including projected revenue growth and operating expenses related to existing businesses, product innovation, and new shop concepts, as well as selecting valuation multiples of similar publicly traded companies and an appropriate discount rate. Estimates of revenue growth and operating expenses were based on internal projections that considered the reporting unit’s past performance and forecasted growth, strategic initiatives, local market economics, and the local business environment impacting the reporting unit’s performance. The discount rate was selected based on the estimated cost of capital for a market participant to operate the reporting unit in the region. These estimates, as well as the selection of comparable companies and valuation multiples used in the market approaches were highly subjective, and the Company’s ability to realize the future cash flows used in management’s fair value calculations was affected by factors such as the success of strategic initiatives, changes in economic conditions, changes in operating performance, and changes in business strategies, including retail initiatives and international expansion. For the discounted cash flow approach, management applied discount rates to management’s projected cash flows of approximately 10.0%, 12.0%, and 12.0% for the U.S., KK U.K., and KK Australia reporting units,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in response to management’s updated forecasts and the termination of the Business Relationship Agreement with McDonald’s USA during the quarter ended June 29, 2025, the Company recorded non-cash long-lived asset impairment charges of $22.1 million and non-cash lease impairment and termination costs of $28.9 million. These impairment charges, along with the goodwill impairment, are included in Goodwill and other asset impairments in the Condensed Consolidated Statements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goodwill and other asset impairments did not have an impact on the Company’s compliance with the financial covenants under the Company’s debt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reflect all adjustments that, in the opinion of management, are necessary for a fair presentation of results of operations and financial condition for the interim periods shown, consisting of normal recurring adjustments, unless otherwise disclosed. Certain amounts in prior periods previously reported in the Company’s Quarterly Report on Form 10-Q for the period ended June 29, 2025 (the “Q2 2025 Form 10-Q”) have been reclassified to conform to the current period presentation. The Company believes that the disclosures are adequate to make the information presented not misleading and should be read in conjunction with the unaudited consolidated financial statements and related footnotes contained in the Q2 2025 Form 10-Q.</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(Subtopic 220-40): Disaggregation of Income Statement Expenses</w:t>
      </w:r>
      <w:r>
        <w:rPr>
          <w:rFonts w:ascii="Times New Roman;serif" w:hAnsi="Times New Roman;serif"/>
          <w:b w:val="false"/>
          <w:color w:val="000000"/>
          <w:sz w:val="20"/>
        </w:rPr>
        <w:t>, which requires a public business entity (“PBE”) to disclose in the notes to the financial statements, at each interim and annual reporting period, specified information about certain costs and expenses, including (a) purchases of inventory, (b) employee compensation, (c) depreciation, (d) intangible asset amortization, and (e) depreciation, depletion, and amortization recognized as part of oil and gas-producing activities, for each income statement line item that contains those expenses. For PBEs, the ASU is effective for fiscal years beginning after December 15, 2026, and interim periods within fiscal years beginning after December 15, 2027. An entity may apply the amendments in this ASU prospectively or retrospectively. The Company expects this ASU to impact its expense disclosures, but with no impacts to its results of operations, cash flows, and financial condition.</w:t>
      </w:r>
    </w:p>
    <w:p>
      <w:pPr>
        <w:pStyle w:val="TextBody"/>
        <w:bidi w:val="0"/>
        <w:spacing w:lineRule="auto" w:line="288" w:before="240" w:after="283"/>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(Subtopic 350-40): Targeted Improvements to the Accounting for Internal-Use Software, </w:t>
      </w:r>
      <w:r>
        <w:rPr>
          <w:rFonts w:ascii="Times New Roman;serif" w:hAnsi="Times New Roman;serif"/>
          <w:b w:val="false"/>
          <w:color w:val="000000"/>
          <w:sz w:val="20"/>
        </w:rPr>
        <w:t xml:space="preserve">which clarifies and modernizes the accounting for costs related to internal-use software. The guidance removes all references to project stages in Accounting Standards Codification (“ASC”)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and clarifies the threshold entities apply to begin capitalizing costs. The new guidance requires an entity to start capitalizing software costs when (a) management has authorized and committed to funding the software project, and (b) it is probable that the project will be completed and the software will be used to perform the function intended. For PBEs, the ASU is effective for annual periods beginning after December 15, 2027, and interim periods within those annual periods, with early adoption permitted. Entities may apply the amendments in this ASU using a prospective, retrospective, or modified transition approach. The Company does not expect this ASU to materially impact its results of operations, cash flows, and financial condition.</w:t>
      </w:r>
    </w:p>
    <w:p>
      <w:pPr>
        <w:pStyle w:val="TextBody"/>
        <w:bidi w:val="0"/>
        <w:spacing w:lineRule="auto" w:line="288" w:before="240" w:after="283"/>
        <w:jc w:val="both"/>
        <w:rPr/>
      </w:pPr>
      <w:r>
        <w:rPr>
          <w:rFonts w:ascii="Times New Roman;serif" w:hAnsi="Times New Roman;serif"/>
          <w:b w:val="false"/>
          <w:color w:val="000000"/>
          <w:sz w:val="20"/>
        </w:rPr>
        <w:t>In December 2025, the FASB issued ASU 2025-11,</w:t>
      </w:r>
      <w:r>
        <w:rPr>
          <w:color w:val="000000"/>
        </w:rPr>
        <w:t xml:space="preserve">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which centralizes interim disclosure requirements and codifies a "disclosure principle" requiring an explanation of material changes occurring since the most recent annual period. As the Company currently adheres to similar requirements under SEC Regulation S-X Rule 8-03, the adoption of this guidance is not expected to significantly change current interim reporting practices. The amendments are effective for the Company for interim periods within fiscal years beginning after December 15, 2027, with early adoption permitted. The Company expects to adopt this guidance prospectively and does not anticipate that the adoption will have a material impact on its Condensed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6938"/>
          <w:sz w:val="20"/>
        </w:rPr>
      </w:pPr>
      <w:r>
        <w:rPr>
          <w:rFonts w:ascii="Times New Roman;serif" w:hAnsi="Times New Roman;serif"/>
          <w:b/>
          <w:color w:val="006938"/>
          <w:sz w:val="20"/>
        </w:rPr>
        <w:t>Note 2 — Revision of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Revision of Previously Issued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preparation of the financial statements for the year ended December 28, 2025, the Company identified and corrected the classification and accounting treatment for the redeemable noncontrolling interests in W.K.S. Krispy Kreme and KK Canada AcquisitionCo Inc. (“KK Canada”) (the “redeemable noncontrolling interests”). The Company determined that the accounting for the redeemable noncontrolling interests for periods prior to the annual period ended December 28, 2025 was incorrect. Specifically, the redeemable noncontrolling interests had originally been classified as Noncontrolling interest within Shareholders’ equity in the financial statements included in the Company’s annual and quarterly reports filed prior to the fiscal year ended December 28, 2025. The Company determined that the redeemable noncontrolling interests should instead be accounted for as Mezzanine equity. In addition, the redeemable noncontrolling interests, which were recorded at fair value each annual and quarterly reporting period, with changes recorded in Net (loss)/income, should instead be recorded at the greater of (i) current redemption value or (ii) carrying amount each quarterly reporting period with changes to this amount being recorded in Additional paid-in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change in carrying value of the redeemable noncontrolling interest, which was originally included in the calculation of Net (loss)/income as well as the calculation of Net (loss)/income attributable to Krispy Kreme, Inc. for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prior to the annual period ended December 28, 2025, should instead be included only in the calculation of Net (loss)/income attributable to Krispy Kreme, Inc. as those captions are presented in the Consolidated Statement of Changes in Shareholders' Equity. In accordance with the guidance provided by the SEC’s Staff Accounting Bulletin 99, Materiality, and Staff Accounting Bulletin 108, Considering the Effects of Prior Year Misstatements when Quantifying Misstatements in Current Year Financial Statements, the Company determined that the impact of adjustments relating to the corrections of this accounting error were not material to previously issued annual audited and unaudited consolidated financial statements. Accordingly, these adjustments are disclosed herein and will be disclosed prospectively. As a result of the aforementioned correction of accounting errors, the quarterly financial statements included herein have been revised as follows:</w:t>
      </w:r>
    </w:p>
    <w:tbl>
      <w:tblPr>
        <w:tblW w:w="10205" w:type="dxa"/>
        <w:jc w:val="left"/>
        <w:tblInd w:w="0" w:type="dxa"/>
        <w:tblLayout w:type="fixed"/>
        <w:tblCellMar>
          <w:top w:w="28" w:type="dxa"/>
          <w:left w:w="28" w:type="dxa"/>
          <w:bottom w:w="28" w:type="dxa"/>
          <w:right w:w="28" w:type="dxa"/>
        </w:tblCellMar>
      </w:tblPr>
      <w:tblGrid>
        <w:gridCol w:w="1959"/>
        <w:gridCol w:w="1714"/>
        <w:gridCol w:w="1724"/>
        <w:gridCol w:w="334"/>
        <w:gridCol w:w="1106"/>
        <w:gridCol w:w="186"/>
        <w:gridCol w:w="130"/>
        <w:gridCol w:w="130"/>
        <w:gridCol w:w="130"/>
        <w:gridCol w:w="243"/>
        <w:gridCol w:w="853"/>
        <w:gridCol w:w="130"/>
        <w:gridCol w:w="130"/>
        <w:gridCol w:w="130"/>
        <w:gridCol w:w="130"/>
        <w:gridCol w:w="235"/>
        <w:gridCol w:w="745"/>
        <w:gridCol w:w="196"/>
      </w:tblGrid>
      <w:tr>
        <w:trPr/>
        <w:tc>
          <w:tcPr>
            <w:tcW w:w="195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Changes in Shareholders’ Equity</w:t>
            </w:r>
          </w:p>
        </w:tc>
      </w:tr>
      <w:tr>
        <w:trPr/>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5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29, 2024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(loss)/income for the fiscal quarter ended March 30, 2025</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for the quarter ended March 30, 2025 before reclassifications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30, 2025</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(loss)/income for the fiscal quarter ended June 29, 2025</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(5,761)</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for the quarter ended June 29, 2025 before reclassifications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2025</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118"/>
        <w:gridCol w:w="1807"/>
        <w:gridCol w:w="1820"/>
        <w:gridCol w:w="291"/>
        <w:gridCol w:w="1196"/>
        <w:gridCol w:w="162"/>
        <w:gridCol w:w="109"/>
        <w:gridCol w:w="109"/>
        <w:gridCol w:w="109"/>
        <w:gridCol w:w="225"/>
        <w:gridCol w:w="655"/>
        <w:gridCol w:w="126"/>
        <w:gridCol w:w="109"/>
        <w:gridCol w:w="109"/>
        <w:gridCol w:w="109"/>
        <w:gridCol w:w="196"/>
        <w:gridCol w:w="798"/>
        <w:gridCol w:w="157"/>
      </w:tblGrid>
      <w:tr>
        <w:trPr/>
        <w:tc>
          <w:tcPr>
            <w:tcW w:w="211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Loss per Share</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Quarters Ended June 29, 2025</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Krispy Kreme, Inc.</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to redemption value of redeemable noncontrolling interest</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 - Basic</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(468,544)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income attributed to noncontrolling interest due to subsidiary potential common shares</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 - Diluted</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(468,544)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common stock options, RSUs, and PSUs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(Loss)/earnings per share attributable to common shareholders: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Note 3 — Acquisitions and Divestitures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2026 Acquisitions and Divestitures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acquired the remaining equity interest in Krispy Kreme France, increasing its ownership from 33.0% to 100%. Prior to the acquisition, the Company accounted for its investment in Krispy Kreme France under the equity method. The Company-owned operations in France remain presented in the Company’s Market Development segment as management evaluates strategic alternatives for the France business. As a result of the transaction, Krispy Kreme France is now fully consolidated. The acquisition was not material to the Company's consolidated financial statements. Accordingly, the disclosures otherwise required by ASC 805, including pro forma results of operations, have been omitted.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W.K.S. Krispy Kreme and Awesome Doughnut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23, 2026 (the “Effective Date”), Krispy Kreme, Inc., through its wholly owned subsidiaries, Awesome Doughnut, LLC (“Awesome Doughnut”) and Krispy Kreme Doughnut Corporation (“KKDC”), completed transactions with its joint venture partner, WKS Restaurant Group (“WKS”), as a result of which: (i) WKS’s indirect ownership stake in the Company’s Western U.S. joint venture, W.K.S. Krispy Kreme, increased from 45% to 80%; and (ii) KKDC’s ownership stake in W.K.S. Krispy Kreme decreased from 55% to 20% (the “WKS Refranchising”). The WKS Refranchising included the following principal components: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Awesome Doughnut entered into an Asset Purchase Agreement (the “APA”) with W.K.S. KK HoldCo, Inc., an affiliate of WKS (“WKS Holdco”), pursuant to which WKS Holdco acquired, as of the Effective Date, substantially all of the franchise rights, operating assets, equipment, personal property, vehicles, goodwill, and business of the Awesome Doughnut-owned and operated Krispy Kreme shops in California (collectively, the “California Assets”) from Awesome Doughnut for an aggregate purchase price of $40.4 million, paid through delivery of a promissory note issued by WKS Holdco, as borrower, payable to Awesome Doughnut, as lender (“Seller Note”). The Seller Note bears interest at a rate of five percent (5%) per annum, payable quarterly in cash or in-kind at the option of the borrower. The Seller Note matures on March 22, 2032, and allows for prepayment without penalty. The Seller Note is secured by a pledge agreement between WKS Holdco and Awesome Doughnut, pursuant to which WKS Holdco pledged its equity interests in W.K.S. Krispy Kreme and other securities, as collateral. The Seller Note is subordinate to the new debt financing obtained by W.K.S. Krispy Kreme described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WKS Holdco contributed the California Assets and $13 million in cash to W.K.S. Krispy Kreme, in exchange for equity interests in W.K.S. Krispy Kreme. In addition, KKDC contributed the franchise rights, operating assets, equipment, personal property, vehicles, goodwill, and business of the Company-owned and operated Krispy Kreme shop in Hawaii (the “Hawaii Assets”) to W.K.S. Krispy Kreme, in exchange for equity interests in W.K.S. Krispy Kreme, pursuant to a Contribution and Exchange Agreement, dated as of the Effective Date, by and between KKDC and the JV. Following the foregoing contributions, WKS’s ownership stake in W.K.S. Krispy Kreme through its affiliate increased to 80% and KKDC’s ownership percentage decreased to 20%. As part of the WKS Refranchising, utilizing in part the proceeds of new debt financing obtained by W.K.S. Krispy Kreme, W.K.S. Krispy Kreme repaid in cash to KKDC the approximately $53.5 million balance of existing intercompany debt owed to KKDC by W.K.S. Krispy Kreme.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KKDC’s ownership interest decreasing to 20%, KKI deconsolidated W.K.S. Krispy Kreme from the Company’s Condensed Consolidated Financial Statements and recorded a loss on divestiture of $33.8 million (gross of income taxes) which is included within Gain on refranchising in the Condensed Consolidated Statements of Operations. The loss on divestiture was recognized upon the deconsolidation of W.K.S. Krispy Kreme on March 23, 2026. Accordingly, the following table reflects the calculation of the one-time loss recognized as of the transaction date and is not presented for the first two quarters of 2026. The loss recognized was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00"/>
        <w:gridCol w:w="2710"/>
        <w:gridCol w:w="2722"/>
        <w:gridCol w:w="287"/>
        <w:gridCol w:w="1073"/>
        <w:gridCol w:w="213"/>
      </w:tblGrid>
      <w:tr>
        <w:trPr/>
        <w:tc>
          <w:tcPr>
            <w:tcW w:w="320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29, 2026</w:t>
            </w:r>
          </w:p>
        </w:tc>
      </w:tr>
      <w:tr>
        <w:trP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net of cash disposed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Seller note received</w:t>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40,404</w:t>
            </w:r>
          </w:p>
        </w:tc>
      </w:tr>
      <w:tr>
        <w:trP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retained noncontrolling interest in W.K.S. Krispy Kreme - common and preferred shares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Carrying value of California Assets, Hawaii Assets, and former redeemable noncontrolling interest in W.K.S Krispy Kreme </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Carrying value of California Assets, Hawaii Assets, and net assets of W.K.S. Krispy Kreme, including cash and cash equivalents </w:t>
            </w:r>
            <w:r>
              <w:rPr>
                <w:rFonts w:ascii="Times New Roman;serif" w:hAnsi="Times New Roman;serif"/>
                <w:b w:val="false"/>
                <w:color w:val="000000"/>
                <w:sz w:val="10"/>
              </w:rPr>
              <w:t>(1)</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Direct costs to sell</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net book value of W.K.S. Krispy Kreme represents the carrying value of the net assets contributed by Krispy Kreme, Inc. in exchange for the consideration transferred and is presented net of the redeemable noncontrolling interest described in the table above. The gross carrying value of W.K.S. Krispy Kreme’s net assets, before giving effect to the redeemable noncontrolling interest, was approximately $145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 ownership in W.K.S. Krispy Kreme consists of common and preferred shares of W.K.S. Krispy Kreme. The Company does not have a controlling interest but does exercise significant influence. As such, the Company accounts for this investment under the equity method of accounting in accordance with ASC 323 for the common shares owned. The Company’s preferred shares were determined not to be in-substance common stock, and as such are not eligible for the equity method of accounting under ASC 323. These preferred shares are instead accounted for as an equity security in accordance with ASC 321. Equity investments are included within Other assets on the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with the WKS Refranchising, the Company and W.K.S. Krispy Kreme entered into a six-year consulting agreement, effective March 23, 2026, under which the Company will provide strategic advisory services to the joint venture, including governance and strategy support, brand and market advisory, operational and risk advisory, and transitional back-office support services.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Divestiture of Krispy Kreme Japan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 2026, the Company completed the sale of 100% of its equity interests in Krispy Kreme Japan for gross cash proceeds of $69.3 million. Krispy Kreme Japan was a previously consolidated entity, and KKI recognized a gain on divestiture of $42.4 million (gross of income taxes) which is included within Gain on refranchising in the Condensed Consolidated Statements of Operations.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2025 Acquisitions and Divestitures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quarter ended June 29, 2025, the Company invested approximately $2.1 million in cash to maintain a 45.0% noncontrolling ownership interest in Krispy Kreme Doughnuts Brasil S.A. (“KK Brazil”). As the Company has the ability to exercise significant influence over KK Brazil, but does not have the ability to exercise control, the investment is accounted for using the equity method, and equity method earnings are recognized within Other income, net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Divestiture of Insomnia Cookies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quarter ended June 29, 2025, the Company sold the remainder of its ownership interest in Insomnia Cookies Holdings, LLC (“Insomnia Cookies”) for aggregate cash proceeds of $75.0 million. Insomnia Cookies was previously accounted for using the equity method, and the Company recognized a loss on divestiture of $11.5 million (gross of income taxes) which is included within Loss on divestiture of Insomnia Cookies in the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4 — Inventories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6640" w:type="dxa"/>
        <w:jc w:val="left"/>
        <w:tblInd w:w="0" w:type="dxa"/>
        <w:tblLayout w:type="fixed"/>
        <w:tblCellMar>
          <w:top w:w="28" w:type="dxa"/>
          <w:left w:w="28" w:type="dxa"/>
          <w:bottom w:w="28" w:type="dxa"/>
          <w:right w:w="28" w:type="dxa"/>
        </w:tblCellMar>
      </w:tblPr>
      <w:tblGrid>
        <w:gridCol w:w="1320"/>
        <w:gridCol w:w="1157"/>
        <w:gridCol w:w="1167"/>
        <w:gridCol w:w="224"/>
        <w:gridCol w:w="784"/>
        <w:gridCol w:w="116"/>
        <w:gridCol w:w="109"/>
        <w:gridCol w:w="109"/>
        <w:gridCol w:w="109"/>
        <w:gridCol w:w="296"/>
        <w:gridCol w:w="1033"/>
        <w:gridCol w:w="216"/>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purchased merchandise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28,666</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26,877</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5 — Goodwill and Other Intangible Assets, net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Goodwill,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carrying amount of goodwill by reportable segment are as follows: </w:t>
      </w:r>
    </w:p>
    <w:tbl>
      <w:tblPr>
        <w:tblW w:w="9053" w:type="dxa"/>
        <w:jc w:val="left"/>
        <w:tblInd w:w="0" w:type="dxa"/>
        <w:tblLayout w:type="fixed"/>
        <w:tblCellMar>
          <w:top w:w="28" w:type="dxa"/>
          <w:left w:w="28" w:type="dxa"/>
          <w:bottom w:w="28" w:type="dxa"/>
          <w:right w:w="28" w:type="dxa"/>
        </w:tblCellMar>
      </w:tblPr>
      <w:tblGrid>
        <w:gridCol w:w="1053"/>
        <w:gridCol w:w="925"/>
        <w:gridCol w:w="931"/>
        <w:gridCol w:w="211"/>
        <w:gridCol w:w="841"/>
        <w:gridCol w:w="109"/>
        <w:gridCol w:w="109"/>
        <w:gridCol w:w="109"/>
        <w:gridCol w:w="109"/>
        <w:gridCol w:w="211"/>
        <w:gridCol w:w="841"/>
        <w:gridCol w:w="109"/>
        <w:gridCol w:w="109"/>
        <w:gridCol w:w="109"/>
        <w:gridCol w:w="109"/>
        <w:gridCol w:w="297"/>
        <w:gridCol w:w="1185"/>
        <w:gridCol w:w="153"/>
        <w:gridCol w:w="109"/>
        <w:gridCol w:w="109"/>
        <w:gridCol w:w="109"/>
        <w:gridCol w:w="211"/>
        <w:gridCol w:w="84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Market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Balance as of December 28,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382,106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218,379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111,779</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712,264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40"/>
              <w:jc w:val="left"/>
              <w:rPr/>
            </w:pPr>
            <w:r>
              <w:rPr>
                <w:rFonts w:ascii="Times New Roman;serif" w:hAnsi="Times New Roman;serif"/>
                <w:b w:val="false"/>
                <w:color w:val="000000"/>
                <w:sz w:val="20"/>
              </w:rPr>
              <w:t xml:space="preserve">Impact of refranchising </w:t>
            </w:r>
            <w:r>
              <w:rPr>
                <w:rFonts w:ascii="Times New Roman;serif" w:hAnsi="Times New Roman;serif"/>
                <w:b w:val="false"/>
                <w:color w:val="000000"/>
                <w:sz w:val="10"/>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Balance as of June 28,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339,932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218,034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111,779</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669,745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Other Intangible Assets, net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 of the following: </w:t>
      </w:r>
    </w:p>
    <w:tbl>
      <w:tblPr>
        <w:tblW w:w="10205" w:type="dxa"/>
        <w:jc w:val="left"/>
        <w:tblInd w:w="0" w:type="dxa"/>
        <w:tblLayout w:type="fixed"/>
        <w:tblCellMar>
          <w:top w:w="28" w:type="dxa"/>
          <w:left w:w="28" w:type="dxa"/>
          <w:bottom w:w="28" w:type="dxa"/>
          <w:right w:w="28" w:type="dxa"/>
        </w:tblCellMar>
      </w:tblPr>
      <w:tblGrid>
        <w:gridCol w:w="609"/>
        <w:gridCol w:w="392"/>
        <w:gridCol w:w="395"/>
        <w:gridCol w:w="211"/>
        <w:gridCol w:w="841"/>
        <w:gridCol w:w="109"/>
        <w:gridCol w:w="109"/>
        <w:gridCol w:w="109"/>
        <w:gridCol w:w="109"/>
        <w:gridCol w:w="211"/>
        <w:gridCol w:w="846"/>
        <w:gridCol w:w="109"/>
        <w:gridCol w:w="109"/>
        <w:gridCol w:w="109"/>
        <w:gridCol w:w="109"/>
        <w:gridCol w:w="211"/>
        <w:gridCol w:w="841"/>
        <w:gridCol w:w="109"/>
        <w:gridCol w:w="109"/>
        <w:gridCol w:w="109"/>
        <w:gridCol w:w="109"/>
        <w:gridCol w:w="211"/>
        <w:gridCol w:w="991"/>
        <w:gridCol w:w="109"/>
        <w:gridCol w:w="109"/>
        <w:gridCol w:w="109"/>
        <w:gridCol w:w="109"/>
        <w:gridCol w:w="211"/>
        <w:gridCol w:w="846"/>
        <w:gridCol w:w="109"/>
        <w:gridCol w:w="109"/>
        <w:gridCol w:w="109"/>
        <w:gridCol w:w="109"/>
        <w:gridCol w:w="211"/>
        <w:gridCol w:w="841"/>
        <w:gridCol w:w="157"/>
      </w:tblGrid>
      <w:tr>
        <w:trPr/>
        <w:tc>
          <w:tcPr>
            <w:tcW w:w="6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Net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Gross</w:t>
              <w:br/>
              <w:t>Carrying</w:t>
              <w:b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Net Amount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indefinite lives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2" w:before="0" w:after="0"/>
              <w:jc w:val="left"/>
              <w:rPr>
                <w:color w:val="000000"/>
              </w:rPr>
            </w:pPr>
            <w:r>
              <w:rPr>
                <w:color w:val="000000"/>
              </w:rPr>
              <w:t>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definite lives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agreements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Reacquired franchise rights </w:t>
            </w:r>
            <w:r>
              <w:rPr>
                <w:rFonts w:ascii="Times New Roman;serif" w:hAnsi="Times New Roman;serif"/>
                <w:b w:val="false"/>
                <w:color w:val="000000"/>
                <w:sz w:val="10"/>
              </w:rPr>
              <w:t>(1)(2)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with definite lives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244,349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914,299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(186,574)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727,725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1,015,816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797,749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Reacquired franchise rights include the impact of foreign currency fluctuations associated with the respective countries.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for more information on the impact of refranchising.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included in Depreciation and amortization expense was $6.2 million and $14.0 million for the quarter and two quarters ended June 28, 2026, respectively, and $7.8 million and $15.5 million for the quarter and two quarters ended June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6 — Leases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included the following amounts related to operating and finance lease assets and liabilities within the Condensed Consolidated Balance Sheets: </w:t>
      </w:r>
    </w:p>
    <w:tbl>
      <w:tblPr>
        <w:tblW w:w="7593" w:type="dxa"/>
        <w:jc w:val="left"/>
        <w:tblInd w:w="0" w:type="dxa"/>
        <w:tblLayout w:type="fixed"/>
        <w:tblCellMar>
          <w:top w:w="28" w:type="dxa"/>
          <w:left w:w="28" w:type="dxa"/>
          <w:bottom w:w="28" w:type="dxa"/>
          <w:right w:w="28" w:type="dxa"/>
        </w:tblCellMar>
      </w:tblPr>
      <w:tblGrid>
        <w:gridCol w:w="498"/>
        <w:gridCol w:w="439"/>
        <w:gridCol w:w="443"/>
        <w:gridCol w:w="1059"/>
        <w:gridCol w:w="1059"/>
        <w:gridCol w:w="1062"/>
        <w:gridCol w:w="211"/>
        <w:gridCol w:w="841"/>
        <w:gridCol w:w="109"/>
        <w:gridCol w:w="109"/>
        <w:gridCol w:w="109"/>
        <w:gridCol w:w="109"/>
        <w:gridCol w:w="270"/>
        <w:gridCol w:w="1078"/>
        <w:gridCol w:w="197"/>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395,523 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392,109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448,756</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w:t>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459,629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525,002</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WKS Refranchising, including the disposition of the California Assets and the Hawaii Assets, certain lease agreements associated with the transferred shops were assigned to W.K.S. Krispy Kreme. In instances where the Company was not relieved of its primary obligations under the original lease agreements, the Company accounts for these arrangements as subleases. Under ASC 842, the Company continues to recognize the operating lease liability and right-of-use asset for subleases that were determined to be operating leases. The Company derecognized right-of-use assets for subleases that were determined to be sales-type leases and recognized an immaterial investment in sublease and lease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remains contingently liable for lease payments in the event that W.K.S. Krispy Kreme defaults on the assigned lease obligations. The undiscounted maximum potential future payments under these lease arrangements were $12.4 million as of the balance sheet date. The Company has not recorded a liability for these guarantees as the likelihood of making future payments is not considered probable.</w:t>
      </w:r>
    </w:p>
    <w:p>
      <w:pPr>
        <w:pStyle w:val="TextBody"/>
        <w:bidi w:val="0"/>
        <w:spacing w:lineRule="auto" w:line="288" w:before="240" w:after="283"/>
        <w:jc w:val="both"/>
        <w:rPr/>
      </w:pPr>
      <w:r>
        <w:rPr>
          <w:rFonts w:ascii="Times New Roman;serif" w:hAnsi="Times New Roman;serif"/>
          <w:b w:val="false"/>
          <w:color w:val="000000"/>
          <w:sz w:val="20"/>
        </w:rPr>
        <w:t xml:space="preserve">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Lease costs were as follows: </w:t>
      </w:r>
    </w:p>
    <w:tbl>
      <w:tblPr>
        <w:tblW w:w="10205" w:type="dxa"/>
        <w:jc w:val="left"/>
        <w:tblInd w:w="0" w:type="dxa"/>
        <w:tblLayout w:type="fixed"/>
        <w:tblCellMar>
          <w:top w:w="28" w:type="dxa"/>
          <w:left w:w="28" w:type="dxa"/>
          <w:bottom w:w="28" w:type="dxa"/>
          <w:right w:w="28" w:type="dxa"/>
        </w:tblCellMar>
      </w:tblPr>
      <w:tblGrid>
        <w:gridCol w:w="879"/>
        <w:gridCol w:w="680"/>
        <w:gridCol w:w="660"/>
        <w:gridCol w:w="902"/>
        <w:gridCol w:w="902"/>
        <w:gridCol w:w="910"/>
        <w:gridCol w:w="236"/>
        <w:gridCol w:w="691"/>
        <w:gridCol w:w="122"/>
        <w:gridCol w:w="109"/>
        <w:gridCol w:w="109"/>
        <w:gridCol w:w="109"/>
        <w:gridCol w:w="236"/>
        <w:gridCol w:w="691"/>
        <w:gridCol w:w="122"/>
        <w:gridCol w:w="109"/>
        <w:gridCol w:w="109"/>
        <w:gridCol w:w="109"/>
        <w:gridCol w:w="236"/>
        <w:gridCol w:w="691"/>
        <w:gridCol w:w="122"/>
        <w:gridCol w:w="109"/>
        <w:gridCol w:w="109"/>
        <w:gridCol w:w="109"/>
        <w:gridCol w:w="220"/>
        <w:gridCol w:w="755"/>
        <w:gridCol w:w="169"/>
      </w:tblGrid>
      <w:tr>
        <w:trPr/>
        <w:tc>
          <w:tcPr>
            <w:tcW w:w="8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disclosures of cash flow information related to leases were as follows: </w:t>
      </w:r>
    </w:p>
    <w:tbl>
      <w:tblPr>
        <w:tblW w:w="8021" w:type="dxa"/>
        <w:jc w:val="left"/>
        <w:tblInd w:w="0" w:type="dxa"/>
        <w:tblLayout w:type="fixed"/>
        <w:tblCellMar>
          <w:top w:w="28" w:type="dxa"/>
          <w:left w:w="28" w:type="dxa"/>
          <w:bottom w:w="28" w:type="dxa"/>
          <w:right w:w="28" w:type="dxa"/>
        </w:tblCellMar>
      </w:tblPr>
      <w:tblGrid>
        <w:gridCol w:w="1955"/>
        <w:gridCol w:w="1718"/>
        <w:gridCol w:w="1727"/>
        <w:gridCol w:w="228"/>
        <w:gridCol w:w="779"/>
        <w:gridCol w:w="117"/>
        <w:gridCol w:w="109"/>
        <w:gridCol w:w="109"/>
        <w:gridCol w:w="109"/>
        <w:gridCol w:w="227"/>
        <w:gridCol w:w="777"/>
        <w:gridCol w:w="166"/>
      </w:tblGrid>
      <w:tr>
        <w:trPr/>
        <w:tc>
          <w:tcPr>
            <w:tcW w:w="1955"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information</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leases: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cash flows for operating leases </w:t>
            </w:r>
            <w:r>
              <w:rPr>
                <w:rFonts w:ascii="Times New Roman;serif" w:hAnsi="Times New Roman;serif"/>
                <w:b w:val="false"/>
                <w:color w:val="000000"/>
                <w:sz w:val="10"/>
              </w:rPr>
              <w:t>(1)</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in exchange for new lease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Operating cash flows for operating leases include variable rent payments, which are not included in the measurement of lease liabilities. Variable rent payments were $12.0 million for the two quarters ended June 28, 2026 and $15.1 million for the two quarters ended June 29,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two quarters ended June 28, 2026, the Company recognized a net loss of $3.2 million included in Other expenses, net on the Condensed Consolidated Statement of Operations, primarily related to the impairment and termination of leases related to fleet assets.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two quarters ended June 29, 2025, the Company completed two sale-leaseback transactions involving building and land properties for total proceeds of $10.9 million. The leasebacks were classified as operating leases, allowing the transactions to qualify as sales under ASC 842. As a result, the Company recognized a gain on sale of $6.7 million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7 — Fair Value Measurements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that are measured at fair value on a recurring basis as of June 28, 2026 and December 28, 2025: </w:t>
      </w:r>
    </w:p>
    <w:tbl>
      <w:tblPr>
        <w:tblW w:w="4050" w:type="dxa"/>
        <w:jc w:val="left"/>
        <w:tblInd w:w="0" w:type="dxa"/>
        <w:tblLayout w:type="fixed"/>
        <w:tblCellMar>
          <w:top w:w="28" w:type="dxa"/>
          <w:left w:w="28" w:type="dxa"/>
          <w:bottom w:w="28" w:type="dxa"/>
          <w:right w:w="28" w:type="dxa"/>
        </w:tblCellMar>
      </w:tblPr>
      <w:tblGrid>
        <w:gridCol w:w="881"/>
        <w:gridCol w:w="778"/>
        <w:gridCol w:w="785"/>
        <w:gridCol w:w="109"/>
        <w:gridCol w:w="109"/>
        <w:gridCol w:w="296"/>
        <w:gridCol w:w="676"/>
        <w:gridCol w:w="153"/>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120</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973</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426" w:type="dxa"/>
        <w:jc w:val="left"/>
        <w:tblInd w:w="0" w:type="dxa"/>
        <w:tblLayout w:type="fixed"/>
        <w:tblCellMar>
          <w:top w:w="28" w:type="dxa"/>
          <w:left w:w="28" w:type="dxa"/>
          <w:bottom w:w="28" w:type="dxa"/>
          <w:right w:w="28" w:type="dxa"/>
        </w:tblCellMar>
      </w:tblPr>
      <w:tblGrid>
        <w:gridCol w:w="884"/>
        <w:gridCol w:w="778"/>
        <w:gridCol w:w="783"/>
        <w:gridCol w:w="109"/>
        <w:gridCol w:w="109"/>
        <w:gridCol w:w="333"/>
        <w:gridCol w:w="995"/>
        <w:gridCol w:w="172"/>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20"/>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8,398</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using Level 1 or Level 3 inputs and no transfers of financial assets or liabilities among the levels within the fair value hierarchy during the two quarters ended June 28, 2026 and fiscal year ended December 28, 2025. The Company’s derivatives are valued using discounted cash flow analyses that incorporate observable market parameters, such as interest rate yield curves and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8 — Derivative Instruments</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forward contracts to protect against the effects of commodity price fluctuations in the cost of ingredients of its products, of which flour, sugar, and shortening are the most significant, and the cost of gasoline used by its delivery vehicles. Management has not designated these forward contracts as hedges. As of June 28, 2026 and December 28, 2025, the total notional amount of these contracts was 0.7 million and 0.6 million gallons of fuel, respectively, and the Company recorded a liability of $0.2 million and an asset of less than $0.1 million, respectively. The contracts outstanding as of June 28, 2026 are scheduled to mature between July 2026 and March 2027, and the contracts outstanding as of December 28, 2025 matured between January 2026 and March 2026. The settlement of commodity derivative contracts is reported in the Condensed Consolidated Statements of Cash Flows as a cash flow from operating activities.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interest rate swaps to manage its exposure to interest rate volatility from its debt arrangements. Management has designated the swap agreements as cash flow hedges and recognized the changes in the fair value of these swaps in other comprehensive income. As of both June 28, 2026 and December 28, 2025, the aggregate notional amount hedged by the swap agreements was $550.0 million of term loan principal. As of June 28, 2026 and December 28, 2025, the Company has recorded liabilities of $0.8 million and $8.4 million, respectively, related to the fair market values of its interest rate derivatives. The cash flows associated with the interest rate swaps are reflected in operating activities in the Condensed Consolidated Statements of Cash Flows, which is consistent with the classification as operating activities of the interest payments on the term loan. </w:t>
      </w:r>
    </w:p>
    <w:p>
      <w:pPr>
        <w:pStyle w:val="TextBody"/>
        <w:bidi w:val="0"/>
        <w:spacing w:lineRule="auto" w:line="288" w:before="240" w:after="283"/>
        <w:jc w:val="both"/>
        <w:rPr/>
      </w:pPr>
      <w:r>
        <w:rPr>
          <w:rFonts w:ascii="Times New Roman;serif" w:hAnsi="Times New Roman;serif"/>
          <w:b w:val="false"/>
          <w:color w:val="000000"/>
          <w:sz w:val="20"/>
        </w:rPr>
        <w:t xml:space="preserve">The net effect of the interest rate swap arrangements is to fix the variable interest rate on the term loan under the 2023 Facility (as defined in </w:t>
      </w:r>
      <w:hyperlink w:anchor="i6781294ebfbd46738ac2f0e45c372155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up to the notional amount outstanding at the rates payable under the swap agreements plus the Applicable Rate (as defined by the 2023 Facility), through the swap maturity dates in March 2028.</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foreign currency exchange rate risk primarily from its investments in consolidated subsidiaries that operate in Canada, the U.K., Ireland, Australia, New Zealand, and Mexico. In order to mitigate foreign exchange fluctuations, the Company enters into foreign exchange forward contracts. Management has not designated these forward contracts as hedges. As of June 28, 2026 and December 28, 2025, the total notional amount of foreign exchange derivatives was $76.4 million and $65.6 million, respectively. These contracts are short term in nature and are continually swapped at a notional value to offset the corresponding values. The majority of our foreign exchange derivatives matured in April 2026 and January 2026, respectively, but are continually swapped at maturity to track the underlying exposure. The Company recorded a liability of $0.1 million and a liability of less than $0.1 million as of June 28, 2026 and December 28, 2025, respectively, related to the fair market values of its foreign exchange derivatives.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Quantitative Summary of Derivative Positions and Their Effect on Results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fair values of derivative instruments included in the Condensed Consolidated Balance Sheets as of June 28, 2026 and December 28, 2025 for derivatives not designated as hedging instruments and derivatives designated as hedging instruments, respectively. Only the Company’s cash flow hedges are designated as hedging instruments. </w:t>
      </w:r>
    </w:p>
    <w:tbl>
      <w:tblPr>
        <w:tblW w:w="9277" w:type="dxa"/>
        <w:jc w:val="left"/>
        <w:tblInd w:w="0" w:type="dxa"/>
        <w:tblLayout w:type="fixed"/>
        <w:tblCellMar>
          <w:top w:w="28" w:type="dxa"/>
          <w:left w:w="28" w:type="dxa"/>
          <w:bottom w:w="28" w:type="dxa"/>
          <w:right w:w="28" w:type="dxa"/>
        </w:tblCellMar>
      </w:tblPr>
      <w:tblGrid>
        <w:gridCol w:w="1085"/>
        <w:gridCol w:w="956"/>
        <w:gridCol w:w="959"/>
        <w:gridCol w:w="296"/>
        <w:gridCol w:w="676"/>
        <w:gridCol w:w="153"/>
        <w:gridCol w:w="109"/>
        <w:gridCol w:w="109"/>
        <w:gridCol w:w="109"/>
        <w:gridCol w:w="318"/>
        <w:gridCol w:w="611"/>
        <w:gridCol w:w="165"/>
        <w:gridCol w:w="109"/>
        <w:gridCol w:w="109"/>
        <w:gridCol w:w="109"/>
        <w:gridCol w:w="996"/>
        <w:gridCol w:w="996"/>
        <w:gridCol w:w="1412"/>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Derivatives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 xml:space="preserve">Derivatives Not Designated as Hedging </w:t>
            </w:r>
          </w:p>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Instruments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Assets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120</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9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 xml:space="preserve">Commodity derivatives </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199</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5"/>
        <w:gridCol w:w="1092"/>
        <w:gridCol w:w="1094"/>
        <w:gridCol w:w="292"/>
        <w:gridCol w:w="667"/>
        <w:gridCol w:w="151"/>
        <w:gridCol w:w="109"/>
        <w:gridCol w:w="109"/>
        <w:gridCol w:w="109"/>
        <w:gridCol w:w="232"/>
        <w:gridCol w:w="696"/>
        <w:gridCol w:w="160"/>
        <w:gridCol w:w="109"/>
        <w:gridCol w:w="109"/>
        <w:gridCol w:w="109"/>
        <w:gridCol w:w="1155"/>
        <w:gridCol w:w="1143"/>
        <w:gridCol w:w="162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2"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2"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2"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(current)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Interest rate derivatives (noncurrent)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2"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774</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8,386</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derivative instruments in the Condensed Consolidated Statements of Operations for the quarter and two quarters ended June 28, 2026 and June 29, 2025 is as follows: </w:t>
      </w:r>
    </w:p>
    <w:tbl>
      <w:tblPr>
        <w:tblW w:w="10205" w:type="dxa"/>
        <w:jc w:val="left"/>
        <w:tblInd w:w="0" w:type="dxa"/>
        <w:tblLayout w:type="fixed"/>
        <w:tblCellMar>
          <w:top w:w="28" w:type="dxa"/>
          <w:left w:w="28" w:type="dxa"/>
          <w:bottom w:w="28" w:type="dxa"/>
          <w:right w:w="28" w:type="dxa"/>
        </w:tblCellMar>
      </w:tblPr>
      <w:tblGrid>
        <w:gridCol w:w="668"/>
        <w:gridCol w:w="561"/>
        <w:gridCol w:w="563"/>
        <w:gridCol w:w="310"/>
        <w:gridCol w:w="755"/>
        <w:gridCol w:w="160"/>
        <w:gridCol w:w="160"/>
        <w:gridCol w:w="160"/>
        <w:gridCol w:w="160"/>
        <w:gridCol w:w="310"/>
        <w:gridCol w:w="708"/>
        <w:gridCol w:w="160"/>
        <w:gridCol w:w="109"/>
        <w:gridCol w:w="109"/>
        <w:gridCol w:w="109"/>
        <w:gridCol w:w="324"/>
        <w:gridCol w:w="790"/>
        <w:gridCol w:w="167"/>
        <w:gridCol w:w="167"/>
        <w:gridCol w:w="167"/>
        <w:gridCol w:w="167"/>
        <w:gridCol w:w="324"/>
        <w:gridCol w:w="739"/>
        <w:gridCol w:w="167"/>
        <w:gridCol w:w="109"/>
        <w:gridCol w:w="109"/>
        <w:gridCol w:w="109"/>
        <w:gridCol w:w="540"/>
        <w:gridCol w:w="540"/>
        <w:gridCol w:w="784"/>
      </w:tblGrid>
      <w:tr>
        <w:trPr/>
        <w:tc>
          <w:tcPr>
            <w:tcW w:w="66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Two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Gain Recognized in Income</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interest rate derivatives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7"/>
        <w:gridCol w:w="557"/>
        <w:gridCol w:w="558"/>
        <w:gridCol w:w="298"/>
        <w:gridCol w:w="679"/>
        <w:gridCol w:w="154"/>
        <w:gridCol w:w="154"/>
        <w:gridCol w:w="154"/>
        <w:gridCol w:w="154"/>
        <w:gridCol w:w="298"/>
        <w:gridCol w:w="720"/>
        <w:gridCol w:w="154"/>
        <w:gridCol w:w="109"/>
        <w:gridCol w:w="109"/>
        <w:gridCol w:w="109"/>
        <w:gridCol w:w="311"/>
        <w:gridCol w:w="687"/>
        <w:gridCol w:w="160"/>
        <w:gridCol w:w="160"/>
        <w:gridCol w:w="160"/>
        <w:gridCol w:w="160"/>
        <w:gridCol w:w="311"/>
        <w:gridCol w:w="754"/>
        <w:gridCol w:w="160"/>
        <w:gridCol w:w="109"/>
        <w:gridCol w:w="109"/>
        <w:gridCol w:w="109"/>
        <w:gridCol w:w="787"/>
        <w:gridCol w:w="545"/>
        <w:gridCol w:w="789"/>
      </w:tblGrid>
      <w:tr>
        <w:trPr/>
        <w:tc>
          <w:tcPr>
            <w:tcW w:w="68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Gain/(Loss) Recognized in Income for the Two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Location of Derivative (Loss)/Gain Recognized in Income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(Loss)/gain on foreign currency derivatives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(income)/expense, net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Loss/(gain) on commodity 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(income)/expense, net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Note 9 — Vendor Finance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liabilities as of June 28, 2026 and December 28, 2025 related to vendor finance programs in which the Company participates as a buyer: </w:t>
      </w:r>
    </w:p>
    <w:tbl>
      <w:tblPr>
        <w:tblW w:w="7978" w:type="dxa"/>
        <w:jc w:val="left"/>
        <w:tblInd w:w="0" w:type="dxa"/>
        <w:tblLayout w:type="fixed"/>
        <w:tblCellMar>
          <w:top w:w="28" w:type="dxa"/>
          <w:left w:w="28" w:type="dxa"/>
          <w:bottom w:w="28" w:type="dxa"/>
          <w:right w:w="28" w:type="dxa"/>
        </w:tblCellMar>
      </w:tblPr>
      <w:tblGrid>
        <w:gridCol w:w="1020"/>
        <w:gridCol w:w="898"/>
        <w:gridCol w:w="901"/>
        <w:gridCol w:w="211"/>
        <w:gridCol w:w="841"/>
        <w:gridCol w:w="109"/>
        <w:gridCol w:w="109"/>
        <w:gridCol w:w="109"/>
        <w:gridCol w:w="109"/>
        <w:gridCol w:w="272"/>
        <w:gridCol w:w="1087"/>
        <w:gridCol w:w="140"/>
        <w:gridCol w:w="109"/>
        <w:gridCol w:w="109"/>
        <w:gridCol w:w="109"/>
        <w:gridCol w:w="539"/>
        <w:gridCol w:w="539"/>
        <w:gridCol w:w="767"/>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chain financing programs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 programs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Structured payables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104,883</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Supply Chain Financing (“SCF”)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with a third-party administrator which allows participating vendors to track the Company’s payments, and if voluntarily elected by the vendor, to sell payment obligations from the Company to financial institutions as part of the SCF programs. When participating vendors elect to sell one or more of the Company’s payment obligations, the Company’s rights and obligations to settle the payables on their contractual due date are not impacted. The Company agrees on commercial terms with vendors for the goods and services procured, which are consistent with payment terms observed at other peer companies in the industry. The Company has historically prioritized negotiating longer payment terms with some of its largest vendors, and certain of these vendors have also elected to participate in the SCF programs. Payment terms and pricing negotiations are independent of, and not conditioned upon, a vendor’s participation in the SCF programs. The financial institutions do not provide the Company with incentives such as rebates or profit sharing under the SCF programs. As the terms are not impacted by the SCF programs, such obligations are classified as Accounts payable in the Condensed Consolidated Balance Sheets and the associated cash flows are included in operating activities in the Condensed Consolidated Statements of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Structured Payables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various card products issued by financial institutions to facilitate purchases of goods and services. By using these products, the Company may receive differing levels of rebates based on timing of repayment. The payment obligations under these card products are classified as Structured payables in the Condensed Consolidated Balance Sheets and the associated cash flows are included in financing activities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10 — Long-Term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long-term debt obligations consist of the following: </w:t>
      </w:r>
    </w:p>
    <w:tbl>
      <w:tblPr>
        <w:tblW w:w="6467" w:type="dxa"/>
        <w:jc w:val="left"/>
        <w:tblInd w:w="0" w:type="dxa"/>
        <w:tblLayout w:type="fixed"/>
        <w:tblCellMar>
          <w:top w:w="28" w:type="dxa"/>
          <w:left w:w="28" w:type="dxa"/>
          <w:bottom w:w="28" w:type="dxa"/>
          <w:right w:w="28" w:type="dxa"/>
        </w:tblCellMar>
      </w:tblPr>
      <w:tblGrid>
        <w:gridCol w:w="1243"/>
        <w:gridCol w:w="1093"/>
        <w:gridCol w:w="1098"/>
        <w:gridCol w:w="211"/>
        <w:gridCol w:w="841"/>
        <w:gridCol w:w="109"/>
        <w:gridCol w:w="109"/>
        <w:gridCol w:w="109"/>
        <w:gridCol w:w="109"/>
        <w:gridCol w:w="270"/>
        <w:gridCol w:w="1078"/>
        <w:gridCol w:w="197"/>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revolving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lines of credit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977,829</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less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794,214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911,852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2023 Secured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credit agreement (the “2023 Facility”) consisting of a $300.0 million senior secured revolving credit facility and a term loan with an original principal amount of $700.0 million. During the quarter ended June 29, 2025, the Company amended the 2023 Facility (referred to as the “2025 Amendment”) to, among other things, establish additional, incremental term loan commitments in an aggregate principal amount of $125.0 million. During the quarter ended June 29, 2025, the Company capitalized $0.8 million of debt issuance costs related to the 2025 Amendment.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2023 Facility are generally subject to an interest rate of adjusted term Secured Overnight Financing Rate (“SOFR”) plus a credit spread adjustment of 0.10% plus (i) 2.25% if the Company’s leverage ratio (as defined in the 2023 Facility) equals or exceeds 4.00 to 1.00, (ii) 2.00% if the Company’s leverage ratio is less than 4.00 to 1.00 but greater than or equal to 3.00 to 1.00, or (iii) 1.75% if the Company’s leverage ratio is less than 3.00 to 1.00. As of June 28, 2026 and December 28, 2025, the unhedged interest rates were 5.72% and 6.27% under the 2023 Facility, respectively. As of both June 28, 2026 and December 28, 2025, $550.0 million of the outstanding term loan balance was hedged, with the interest rate swap agreements scheduled to mature in March 2028. As of June 28, 2026 and December 28, 2025, the effective interest rates on the term loan were 5.99% and 6.06%, respectively. The Company is required to make installment payments equal to 1.25% of the aggregate closing date principal amounts of the term loan on the last day of each fiscal quarter. All remaining term loan and revolving loan balances are to be due at maturity in March 2028.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2023 Facility is secured by a first priority lien on substantially all of the Company’s personal property assets, certain real estate properties, and all of the Company’s U.S. wholly owned subsidiaries. Loans made pursuant to the 2023 Facility may be used for general corporate purposes of the Company (including, but not limited to, financing working capital needs, capital expenditures, acquisitions, and other investments) and for any other purpose not prohibited under the related loan documents. The 2025 Amendment imposed certain restrictions on the ability to make restricted payments, including dividends, if the leverage ratio under the 2023 Facility exceeds 3.00 to 1.00.</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Short-Term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two agreements with existing lenders providing for short-term, uncommitted lines of credit up to an aggregate of $25.0 million. Borrowings under these short-term lines of credit are payable to the lenders on a revolving basis for tenors up to three months and are subject to an interest rate of adjusted term SOFR plus a credit spread adjustment of 0.10% plus a margin of 1.75%.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11 — Share-based Compensation</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 (“RSUs”) and Performance-based RSUs (“PSUs”)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KKI issues time-vested RSUs and PSUs under the Krispy Kreme, Inc. 2021 Omnibus Incentive Plan (“Omnibus Plan”). Certain subsidiaries issue time-vested RSUs under their respective executive ownership plans and long-term incentive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RSU and PSU activity under these plans during the periods presented is as follows: </w:t>
      </w:r>
    </w:p>
    <w:tbl>
      <w:tblPr>
        <w:tblW w:w="10205" w:type="dxa"/>
        <w:jc w:val="left"/>
        <w:tblInd w:w="0" w:type="dxa"/>
        <w:tblLayout w:type="fixed"/>
        <w:tblCellMar>
          <w:top w:w="28" w:type="dxa"/>
          <w:left w:w="28" w:type="dxa"/>
          <w:bottom w:w="28" w:type="dxa"/>
          <w:right w:w="28" w:type="dxa"/>
        </w:tblCellMar>
      </w:tblPr>
      <w:tblGrid>
        <w:gridCol w:w="780"/>
        <w:gridCol w:w="633"/>
        <w:gridCol w:w="637"/>
        <w:gridCol w:w="443"/>
        <w:gridCol w:w="1326"/>
        <w:gridCol w:w="306"/>
        <w:gridCol w:w="109"/>
        <w:gridCol w:w="109"/>
        <w:gridCol w:w="109"/>
        <w:gridCol w:w="308"/>
        <w:gridCol w:w="308"/>
        <w:gridCol w:w="221"/>
        <w:gridCol w:w="109"/>
        <w:gridCol w:w="109"/>
        <w:gridCol w:w="109"/>
        <w:gridCol w:w="109"/>
        <w:gridCol w:w="109"/>
        <w:gridCol w:w="211"/>
        <w:gridCol w:w="616"/>
        <w:gridCol w:w="109"/>
        <w:gridCol w:w="109"/>
        <w:gridCol w:w="109"/>
        <w:gridCol w:w="109"/>
        <w:gridCol w:w="211"/>
        <w:gridCol w:w="511"/>
        <w:gridCol w:w="109"/>
        <w:gridCol w:w="109"/>
        <w:gridCol w:w="109"/>
        <w:gridCol w:w="109"/>
        <w:gridCol w:w="460"/>
        <w:gridCol w:w="1147"/>
        <w:gridCol w:w="343"/>
      </w:tblGrid>
      <w:tr>
        <w:trPr/>
        <w:tc>
          <w:tcPr>
            <w:tcW w:w="78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20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Non-vested shares outstanding at 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Non-vested shares outstanding at June 28,</w:t>
              <w:br/>
              <w:t>2026</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KKI</w:t>
            </w:r>
          </w:p>
        </w:tc>
        <w:tc>
          <w:tcPr>
            <w:tcW w:w="2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10,669</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11,930</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5.97</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5.16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2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KK Australia</w:t>
            </w:r>
          </w:p>
        </w:tc>
        <w:tc>
          <w:tcPr>
            <w:tcW w:w="2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21</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1.72</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KK Mexico</w:t>
            </w:r>
          </w:p>
        </w:tc>
        <w:tc>
          <w:tcPr>
            <w:tcW w:w="2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40.14</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total non-cash compensation expense related to the RSUs and PSUs under the plans of $3.1 million and $7.3 million for the quarter and two quarters ended June 28, 2026, respectively and $4.2 million and $6.4 million for the quarter and two quarters ended June 29, 2025, respectively, which is included in Selling, general and administrative expenses in the Condensed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unrecognized compensation cost related to the unvested RSUs and PSUs and the weighted average period over which such cost is expected to be recognized are as follows: </w:t>
      </w:r>
    </w:p>
    <w:tbl>
      <w:tblPr>
        <w:tblW w:w="4859" w:type="dxa"/>
        <w:jc w:val="left"/>
        <w:tblInd w:w="0" w:type="dxa"/>
        <w:tblLayout w:type="fixed"/>
        <w:tblCellMar>
          <w:top w:w="28" w:type="dxa"/>
          <w:left w:w="28" w:type="dxa"/>
          <w:bottom w:w="28" w:type="dxa"/>
          <w:right w:w="28" w:type="dxa"/>
        </w:tblCellMar>
      </w:tblPr>
      <w:tblGrid>
        <w:gridCol w:w="163"/>
        <w:gridCol w:w="143"/>
        <w:gridCol w:w="145"/>
        <w:gridCol w:w="516"/>
        <w:gridCol w:w="1766"/>
        <w:gridCol w:w="268"/>
        <w:gridCol w:w="109"/>
        <w:gridCol w:w="109"/>
        <w:gridCol w:w="109"/>
        <w:gridCol w:w="448"/>
        <w:gridCol w:w="448"/>
        <w:gridCol w:w="635"/>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28, 2026</w:t>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Recognized Over a</w:t>
              <w:br/>
              <w:t>Weighted Average</w:t>
              <w:br/>
              <w:t>Period of</w:t>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451"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Time-Vested Stock Options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KKI issues time-vested stock options under the Omnibus Plan. The fair value of time-vested stock options was estimated on the date of grant using the Black-Scholes option pricing model.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status of the time-vested stock options as of December 28, 2025 and changes during the first two quarters of fiscal 2026 are presented below:</w:t>
      </w:r>
    </w:p>
    <w:tbl>
      <w:tblPr>
        <w:tblW w:w="10205" w:type="dxa"/>
        <w:jc w:val="left"/>
        <w:tblInd w:w="0" w:type="dxa"/>
        <w:tblLayout w:type="fixed"/>
        <w:tblCellMar>
          <w:top w:w="28" w:type="dxa"/>
          <w:left w:w="28" w:type="dxa"/>
          <w:bottom w:w="28" w:type="dxa"/>
          <w:right w:w="28" w:type="dxa"/>
        </w:tblCellMar>
      </w:tblPr>
      <w:tblGrid>
        <w:gridCol w:w="941"/>
        <w:gridCol w:w="814"/>
        <w:gridCol w:w="820"/>
        <w:gridCol w:w="440"/>
        <w:gridCol w:w="1100"/>
        <w:gridCol w:w="229"/>
        <w:gridCol w:w="109"/>
        <w:gridCol w:w="109"/>
        <w:gridCol w:w="109"/>
        <w:gridCol w:w="220"/>
        <w:gridCol w:w="220"/>
        <w:gridCol w:w="221"/>
        <w:gridCol w:w="109"/>
        <w:gridCol w:w="109"/>
        <w:gridCol w:w="109"/>
        <w:gridCol w:w="260"/>
        <w:gridCol w:w="260"/>
        <w:gridCol w:w="261"/>
        <w:gridCol w:w="109"/>
        <w:gridCol w:w="109"/>
        <w:gridCol w:w="109"/>
        <w:gridCol w:w="327"/>
        <w:gridCol w:w="794"/>
        <w:gridCol w:w="169"/>
        <w:gridCol w:w="109"/>
        <w:gridCol w:w="109"/>
        <w:gridCol w:w="109"/>
        <w:gridCol w:w="807"/>
        <w:gridCol w:w="416"/>
        <w:gridCol w:w="598"/>
      </w:tblGrid>
      <w:tr>
        <w:trPr/>
        <w:tc>
          <w:tcPr>
            <w:tcW w:w="94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options outstanding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options outstanding at</w:t>
            </w:r>
          </w:p>
        </w:tc>
      </w:tr>
      <w:tr>
        <w:trPr/>
        <w:tc>
          <w:tcPr>
            <w:tcW w:w="2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2026</w:t>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KKI</w:t>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2,558</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2,315</w:t>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w:t>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 xml:space="preserve">The Company recorded total non-cash compensation expense related to the time-vested stock options </w:t>
      </w:r>
      <w:r>
        <w:rPr>
          <w:rFonts w:ascii="Times New Roman;serif" w:hAnsi="Times New Roman;serif"/>
          <w:b w:val="false"/>
          <w:color w:val="000000"/>
          <w:sz w:val="20"/>
          <w:shd w:fill="FFFFFF" w:val="clear"/>
        </w:rPr>
        <w:t>of $0.2 million and $0.6 million</w:t>
      </w:r>
      <w:r>
        <w:rPr>
          <w:color w:val="000000"/>
        </w:rPr>
        <w:t xml:space="preserve"> </w:t>
      </w:r>
      <w:r>
        <w:rPr>
          <w:rFonts w:ascii="Times New Roman;serif" w:hAnsi="Times New Roman;serif"/>
          <w:b w:val="false"/>
          <w:color w:val="000000"/>
          <w:sz w:val="20"/>
        </w:rPr>
        <w:t xml:space="preserve">for the quarter and two quarters ended June 28, 2026, respectively, and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$0.8 million</w:t>
      </w:r>
      <w:r>
        <w:rPr>
          <w:color w:val="000000"/>
        </w:rPr>
        <w:t xml:space="preserve"> </w:t>
      </w:r>
      <w:r>
        <w:rPr>
          <w:rFonts w:ascii="Times New Roman;serif" w:hAnsi="Times New Roman;serif"/>
          <w:b w:val="false"/>
          <w:color w:val="000000"/>
          <w:sz w:val="20"/>
        </w:rPr>
        <w:t>for the quarter and two quarters ended June 29, 2025, respectively, which is included in Selling, general and administrative expenses in the Condensed Consolidated Statements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unrecognized compensation cost related to the stock options and the weighted average period over which such cost is expected to be recognized are as follows: </w:t>
      </w:r>
    </w:p>
    <w:tbl>
      <w:tblPr>
        <w:tblW w:w="4858" w:type="dxa"/>
        <w:jc w:val="left"/>
        <w:tblInd w:w="0" w:type="dxa"/>
        <w:tblLayout w:type="fixed"/>
        <w:tblCellMar>
          <w:top w:w="28" w:type="dxa"/>
          <w:left w:w="28" w:type="dxa"/>
          <w:bottom w:w="28" w:type="dxa"/>
          <w:right w:w="28" w:type="dxa"/>
        </w:tblCellMar>
      </w:tblPr>
      <w:tblGrid>
        <w:gridCol w:w="163"/>
        <w:gridCol w:w="143"/>
        <w:gridCol w:w="145"/>
        <w:gridCol w:w="574"/>
        <w:gridCol w:w="1676"/>
        <w:gridCol w:w="299"/>
        <w:gridCol w:w="109"/>
        <w:gridCol w:w="109"/>
        <w:gridCol w:w="109"/>
        <w:gridCol w:w="448"/>
        <w:gridCol w:w="448"/>
        <w:gridCol w:w="635"/>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 of June 28, 2026</w:t>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Recognized Over a</w:t>
              <w:br/>
              <w:t>Weighted Average</w:t>
              <w:br/>
              <w:t>Period of</w:t>
            </w:r>
          </w:p>
        </w:tc>
      </w:tr>
      <w:tr>
        <w:trPr/>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time-vested stock options vested during the quarter and two quarters ended June 28, 2026 or June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12 — 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interim tax reporting, the Company estimates a worldwide annual effective tax rate and applies that rate to the year-to-date ordinary (loss)/income. The tax effects of significant unusual or infrequently occurring items are excluded from the estimated annual effective tax rate calculation and recognized in the interim period in which they occur. The Company establishes valuation allowances for deferred income tax assets in accordance with GAAP, which provides that such valuation allowances shall be established unless realization of the income tax benefits is more likely than not. Due to significant estimates used to establish the valuation allowances and the potential for changes in facts and circumstances, it is possible that the Company will be required to record adjustments to the valuation allowances in future reporting periods that could have a material effect on its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were 17.7% and 1.6% for the quarter and two quarters ended June 28, 2026, respectively, and 4.4% and 4.6% for the quarter and two quarters ended June 29, 2025, respectively. The Company’s effective income tax rate for the quarter and two quarters ended June 28, 2026 differed from the respective statutory rates primarily due to the tax effects of the mix of income and taxes attributable to foreign jurisdictions, and the refranchising of W.K.S. Krispy Kreme and Krispy Kreme Japan. The Company’s effective income tax rate for the quarter ended June 29, 2025 differed from the statutory rate primarily due to the tax effects of goodwill impairment charges, the mix of income and taxes attributable to foreign jurisdictions, disallowed executive compensation expense, and the sale of the Company’s investment in Insomnia Cookies.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13 — Commitments and Contingencies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Pending Litigation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Securities Litigation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16, 2025 and June 30, 2025, shareholders of the Company filed separate putative federal securities class actions in the Western District of North Carolina against the Company, its Chief Executive Officer (“CEO”), and its former Chief Financial Officer (“CFO”). The actions, which were subsequently consolidated, allege that, throughout the proposed putative class periods, defendants made materially false and/or misleading statements and/or failed to disclose materially adverse facts concerning the Company’s business, operations, and prospects related to the Business Relationship Agreement with McDonald’s USA. Briefing on the Company’s motion to dismiss was completed on May 21, 2026. The decision is pending. This matter is currently in the pleading phase. The Company has engaged external counsel and intends to vigorously defend against these claims. It is too soon to predict with any certainty what, if any, damages could be awarded if liability were found.</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Data Breach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16, 2025, the Company released a Notice of Data Breach stating that on November 29, 2024, the Company became aware of the 2024 Cybersecurity Incident (defined below) and on May 22, 2025, the Company’s investigation determined that personal information of certain individuals was affected. Beginning on June 20, 2025, several putative class action lawsuits were filed against the Company in the Middle District of North Carolina, the Western District of North Carolina, and in California state court. The actions, which were subsequently consolidated, assert claims of negligence, negligence per se, unjust enrichment, breach of implied contract, breach of the implied covenant of good faith and fair dealing, breach of confidence, breach of fiduciary duty, breach of bailment, invasion of privacy, declaratory judgment, and violations of California and North Carolina statutory law, arising from the Company’s alleged failure to secure and safeguard the personally identifiable information and private health information of plaintiffs and purported class members.</w:t>
      </w:r>
    </w:p>
    <w:p>
      <w:pPr>
        <w:pStyle w:val="TextBody"/>
        <w:bidi w:val="0"/>
        <w:spacing w:lineRule="auto" w:line="288" w:before="240" w:after="283"/>
        <w:jc w:val="left"/>
        <w:rPr/>
      </w:pPr>
      <w:r>
        <w:rPr>
          <w:rFonts w:ascii="Times New Roman;serif" w:hAnsi="Times New Roman;serif"/>
          <w:b w:val="false"/>
          <w:color w:val="000000"/>
          <w:sz w:val="20"/>
        </w:rPr>
        <w:t xml:space="preserve">The Company has engaged external counsel to defend against the data breach litigation. The Company reached a settlement with plaintiffs in the amount of approximately </w:t>
      </w:r>
      <w:r>
        <w:rPr>
          <w:rFonts w:ascii="Times New Roman;serif" w:hAnsi="Times New Roman;serif"/>
          <w:b w:val="false"/>
          <w:color w:val="000000"/>
          <w:sz w:val="20"/>
          <w:shd w:fill="FFFFFF" w:val="clear"/>
        </w:rPr>
        <w:t>$1.6 million</w:t>
      </w:r>
      <w:r>
        <w:rPr>
          <w:rFonts w:ascii="Times New Roman;serif" w:hAnsi="Times New Roman;serif"/>
          <w:b w:val="false"/>
          <w:color w:val="000000"/>
          <w:sz w:val="20"/>
        </w:rPr>
        <w:t>, which the court approved on July 6, 2026.</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Shareholder Derivative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13, 2025, June 25, 2025, and August 19, 2025 purported shareholders of the Company filed shareholder derivative actions in the Western District of North Carolina against its CEO, its former CFO, and current and former members of its Board of Directors. The actions, which were subsequently consolidated, allege that the derivative defendants breached their fiduciary duties by allowing the Company to issue materially false and misleading statements and failing to maintain adequate internal controls. The consolidated derivative action is currently stayed until a decision is rendered on the motion to dismiss in the related securities class action or upon motion of one of the parties following 30 days’ notice. This matter is currently in the pleading phase, and the Company has engaged external counsel with respect to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Legal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is engaged in various legal proceedings arising in the normal course of business. The Company maintains insurance policies against certain kinds of such claims and suits, including insurance policies for workers’ compensation and personal injury, all of which are subject to deductibles. While the ultimate outcome of these matters could differ from management’s expectations, management currently does not believe their resolution will have a material adverse effect on the Company’s audited Consolidated Financial Statements.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banks and insurance carriers issued letters of credit and surety bonds on its behalf totaling $23.7 million and $24.4 million as of June 28, 2026 and December 28, 2025, respectively, a majority of which secure the Company’s reimbursement obligations to insurers under its self-insurance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14 — Related Party Transactions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2026, the Company held minority equity interests in three entities, KK Brazil (45.0% ownership), Glaseadas Originales S.L. (“KK Spain”) (25.0% ownership), and W.K.S. Krispy Kreme (20.0% ownership) with an aggregate carrying value of $21.9 million. As of December 28, 2025, the Company held minority equity interests in three entities, Krispy Kreme France (33.0% ownership), KK Brazil (45.0% ownership), and KK Spain (25.0% ownership) with an aggregate carrying value of $7.4 million. </w:t>
      </w:r>
    </w:p>
    <w:p>
      <w:pPr>
        <w:pStyle w:val="TextBody"/>
        <w:bidi w:val="0"/>
        <w:spacing w:lineRule="auto" w:line="288" w:before="120" w:after="283"/>
        <w:jc w:val="left"/>
        <w:rPr/>
      </w:pPr>
      <w:r>
        <w:rPr>
          <w:rFonts w:ascii="Times New Roman;serif" w:hAnsi="Times New Roman;serif"/>
          <w:b w:val="false"/>
          <w:color w:val="000000"/>
          <w:sz w:val="20"/>
        </w:rPr>
        <w:t xml:space="preserve">During the second quarter of 2026, the Company acquired the remaining equity interest in Krispy Kreme France, increasing its ownership from 33.0% to 100.0%. As a result of the transaction, Krispy Kreme France is now fully consolidated. 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15 — Revenue Recognition</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Disaggregation of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disaggregated as follows: </w:t>
      </w:r>
    </w:p>
    <w:tbl>
      <w:tblPr>
        <w:tblW w:w="9449" w:type="dxa"/>
        <w:jc w:val="left"/>
        <w:tblInd w:w="0" w:type="dxa"/>
        <w:tblLayout w:type="fixed"/>
        <w:tblCellMar>
          <w:top w:w="28" w:type="dxa"/>
          <w:left w:w="28" w:type="dxa"/>
          <w:bottom w:w="28" w:type="dxa"/>
          <w:right w:w="28" w:type="dxa"/>
        </w:tblCellMar>
      </w:tblPr>
      <w:tblGrid>
        <w:gridCol w:w="1370"/>
        <w:gridCol w:w="1200"/>
        <w:gridCol w:w="12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Shops and Fresh Delivery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Mix and equipment revenue from franchisees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royalties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330,995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379,767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698,029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754,951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include advertising fund contributions from franchisees, consulting fees, rental income, development and franchise fees, and licensing royalties from customers for use of the Krispy Kreme brand, such as Keurig coffee cups.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and related receivables are as follows: </w:t>
      </w:r>
    </w:p>
    <w:tbl>
      <w:tblPr>
        <w:tblW w:w="10205" w:type="dxa"/>
        <w:jc w:val="left"/>
        <w:tblInd w:w="0" w:type="dxa"/>
        <w:tblLayout w:type="fixed"/>
        <w:tblCellMar>
          <w:top w:w="28" w:type="dxa"/>
          <w:left w:w="28" w:type="dxa"/>
          <w:bottom w:w="28" w:type="dxa"/>
          <w:right w:w="28" w:type="dxa"/>
        </w:tblCellMar>
      </w:tblPr>
      <w:tblGrid>
        <w:gridCol w:w="1511"/>
        <w:gridCol w:w="1289"/>
        <w:gridCol w:w="1293"/>
        <w:gridCol w:w="219"/>
        <w:gridCol w:w="767"/>
        <w:gridCol w:w="113"/>
        <w:gridCol w:w="109"/>
        <w:gridCol w:w="109"/>
        <w:gridCol w:w="109"/>
        <w:gridCol w:w="267"/>
        <w:gridCol w:w="936"/>
        <w:gridCol w:w="138"/>
        <w:gridCol w:w="109"/>
        <w:gridCol w:w="109"/>
        <w:gridCol w:w="109"/>
        <w:gridCol w:w="958"/>
        <w:gridCol w:w="852"/>
        <w:gridCol w:w="1208"/>
      </w:tblGrid>
      <w:tr>
        <w:trPr/>
        <w:tc>
          <w:tcPr>
            <w:tcW w:w="151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Balance Sheet Location</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receivables, net of allowances of $1,354 and $976, respectively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receivables, net</w:t>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 and deferred credits</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revenue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24,617</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26,448</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Trade receivables relate primarily to payments due for royalties, franchise fees, advertising fees, sale of products, and licensing fees. Deferred revenue primarily represents the Company’s remaining performance obligations under gift cards and franchise and development agreements for which consideration has been received or is receivable and is generally recognized on a straight-line basis over the remaining term of the related agreement. The noncurrent portion of deferred revenue primarily relates to the remaining performance obligations in the franchise and development agreements.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Transaction Price Allocated to Remaining Performance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Estimated revenue expected to be recognized in the future related to performance obligations that are either unsatisfied or partially satisfied as of June 28, 2026 is as follows: </w:t>
      </w:r>
    </w:p>
    <w:tbl>
      <w:tblPr>
        <w:tblW w:w="2765" w:type="dxa"/>
        <w:jc w:val="left"/>
        <w:tblInd w:w="0" w:type="dxa"/>
        <w:tblLayout w:type="fixed"/>
        <w:tblCellMar>
          <w:top w:w="28" w:type="dxa"/>
          <w:left w:w="28" w:type="dxa"/>
          <w:bottom w:w="28" w:type="dxa"/>
          <w:right w:w="28" w:type="dxa"/>
        </w:tblCellMar>
      </w:tblPr>
      <w:tblGrid>
        <w:gridCol w:w="608"/>
        <w:gridCol w:w="533"/>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Fiscal year</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Note 16 — Net (Loss)/Earnings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calculations of basic and diluted EPS:</w:t>
      </w:r>
    </w:p>
    <w:tbl>
      <w:tblPr>
        <w:tblW w:w="10205" w:type="dxa"/>
        <w:jc w:val="left"/>
        <w:tblInd w:w="0" w:type="dxa"/>
        <w:tblLayout w:type="fixed"/>
        <w:tblCellMar>
          <w:top w:w="28" w:type="dxa"/>
          <w:left w:w="28" w:type="dxa"/>
          <w:bottom w:w="28" w:type="dxa"/>
          <w:right w:w="28" w:type="dxa"/>
        </w:tblCellMar>
      </w:tblPr>
      <w:tblGrid>
        <w:gridCol w:w="1829"/>
        <w:gridCol w:w="1391"/>
        <w:gridCol w:w="1400"/>
        <w:gridCol w:w="211"/>
        <w:gridCol w:w="768"/>
        <w:gridCol w:w="109"/>
        <w:gridCol w:w="109"/>
        <w:gridCol w:w="109"/>
        <w:gridCol w:w="109"/>
        <w:gridCol w:w="211"/>
        <w:gridCol w:w="869"/>
        <w:gridCol w:w="109"/>
        <w:gridCol w:w="109"/>
        <w:gridCol w:w="109"/>
        <w:gridCol w:w="109"/>
        <w:gridCol w:w="211"/>
        <w:gridCol w:w="768"/>
        <w:gridCol w:w="109"/>
        <w:gridCol w:w="109"/>
        <w:gridCol w:w="109"/>
        <w:gridCol w:w="109"/>
        <w:gridCol w:w="211"/>
        <w:gridCol w:w="869"/>
        <w:gridCol w:w="159"/>
      </w:tblGrid>
      <w:tr>
        <w:trPr/>
        <w:tc>
          <w:tcPr>
            <w:tcW w:w="182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Krispy Kreme,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Accretion to redemption value of redeemable noncontrolling interest</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(472,834)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income attributed to noncontrolling interest due to subsidiary potential common shares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(472,834)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common stock options, RSUs, and PSUs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(Loss)/earnings per share attributable to common shareholders: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Potential dilutive shares consist of unvested RSUs and PSUs, calculated using the treasury stock method. The calculation of dilutive shares outstanding excludes certain unvested RSUs granted under certain subsidiaries’ executive ownership plans and long-term incentive plans, because their inclusion would have been antidilutive. Refer to </w:t>
      </w:r>
      <w:hyperlink w:anchor="i6781294ebfbd46738ac2f0e45c372155_64">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Share-based Compensation, for further information about the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gross number of potential dilutive unvested RSUs and PSUs excluded due to antidilution (unadjusted for the treasury stock method): </w:t>
      </w:r>
    </w:p>
    <w:tbl>
      <w:tblPr>
        <w:tblW w:w="6995" w:type="dxa"/>
        <w:jc w:val="left"/>
        <w:tblInd w:w="0" w:type="dxa"/>
        <w:tblLayout w:type="fixed"/>
        <w:tblCellMar>
          <w:top w:w="28" w:type="dxa"/>
          <w:left w:w="28" w:type="dxa"/>
          <w:bottom w:w="28" w:type="dxa"/>
          <w:right w:w="28" w:type="dxa"/>
        </w:tblCellMar>
      </w:tblPr>
      <w:tblGrid>
        <w:gridCol w:w="422"/>
        <w:gridCol w:w="370"/>
        <w:gridCol w:w="377"/>
        <w:gridCol w:w="374"/>
        <w:gridCol w:w="374"/>
        <w:gridCol w:w="376"/>
        <w:gridCol w:w="138"/>
        <w:gridCol w:w="138"/>
        <w:gridCol w:w="138"/>
        <w:gridCol w:w="374"/>
        <w:gridCol w:w="374"/>
        <w:gridCol w:w="376"/>
        <w:gridCol w:w="109"/>
        <w:gridCol w:w="109"/>
        <w:gridCol w:w="109"/>
        <w:gridCol w:w="375"/>
        <w:gridCol w:w="375"/>
        <w:gridCol w:w="375"/>
        <w:gridCol w:w="181"/>
        <w:gridCol w:w="181"/>
        <w:gridCol w:w="181"/>
        <w:gridCol w:w="342"/>
        <w:gridCol w:w="342"/>
        <w:gridCol w:w="485"/>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KKI</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 Australia</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KK Mexico</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quarter and two quarters ended June 28, 2026 and June 29, 2025, all 2.0 million and 2.6 million time-vested stock options, respectively, were excluded from the computation of diluted weighted average common shares outstanding based on application of the treasury stock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Note 17 — Segment Reporting</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conducts business through the following three reportable segments: </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 xml:space="preserve">Includes all Company-owned operations in the U.S., and W.K.S. Krispy Kreme through the date of deconsolidation; </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International:</w:t>
      </w:r>
      <w:r>
        <w:rPr>
          <w:color w:val="000000"/>
        </w:rPr>
        <w:t xml:space="preserve"> </w:t>
      </w:r>
      <w:r>
        <w:rPr>
          <w:rFonts w:ascii="Times New Roman;serif" w:hAnsi="Times New Roman;serif"/>
          <w:b w:val="false"/>
          <w:color w:val="000000"/>
          <w:sz w:val="20"/>
        </w:rPr>
        <w:t xml:space="preserve">Includes Company-owned operations in the U.K., Ireland, Australia, New Zealand, Mexico, and Canada; as well as Japan through the date of disposition; and </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Market Development:</w:t>
      </w:r>
      <w:r>
        <w:rPr>
          <w:color w:val="000000"/>
        </w:rPr>
        <w:t xml:space="preserve"> </w:t>
      </w:r>
      <w:r>
        <w:rPr>
          <w:rFonts w:ascii="Times New Roman;serif" w:hAnsi="Times New Roman;serif"/>
          <w:b w:val="false"/>
          <w:color w:val="000000"/>
          <w:sz w:val="20"/>
        </w:rPr>
        <w:t>Includes franchise operations across the globe, including Krispy Kreme Japan after March 2, 2026, W.K.S. Krispy Kreme after March 23, 2026, and also includes Company-owned operations in France through Krispy Kreme France after May 25,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costs are excluded from the Company’s measurement of segment performance. These costs include general corporate expenses.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Segment information is identified and prepared on the same basis that the CEO, the Company’s Chief Operating Decision Maker (“CODM”), evaluates financial results, allocates resources, and makes key operating decisions. The CODM allocates resources and assesses performance based on geography and line of business, which represents the Company’s operating segments.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primary financial measures used by the CODM to evaluate the performance of its operating segments are net revenues and segment Adjusted EBITDA. Beginning in the first quarter of fiscal 2026, the Company updated its segment profitability measure from segment Adjusted EBIT to segment Adjusted EBITDA to align with how the CODM evaluates performance. For all of the segments, the CODM uses segment Adjusted EBITDA to monitor and evaluate operating performance and to provide a consistent benchmark for comparison across reporting periods. This measure is prepared on a non-GAAP basis and, as such, the expense captions underlying it are designated as “adjusted.” The adjustments made are explained in the footnotes to the table that follows, which presents the reconciliation of net loss to Adjusted EBITDA.</w:t>
      </w:r>
    </w:p>
    <w:p>
      <w:pPr>
        <w:pStyle w:val="TextBody"/>
        <w:bidi w:val="0"/>
        <w:spacing w:lineRule="auto" w:line="288" w:before="240" w:after="283"/>
        <w:jc w:val="both"/>
        <w:rPr/>
      </w:pPr>
      <w:r>
        <w:rPr>
          <w:rFonts w:ascii="Times New Roman;serif" w:hAnsi="Times New Roman;serif"/>
          <w:b w:val="false"/>
          <w:color w:val="000000"/>
          <w:sz w:val="20"/>
        </w:rPr>
        <w:t xml:space="preserve">The following tables reconcile segment results to consolidated results reported in accordance with GAAP. The accounting policies used for internal management reporting at the operating segments are consistent with those described in </w:t>
      </w:r>
      <w:hyperlink w:anchor="i6781294ebfbd46738ac2f0e45c372155_115">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Description of Business and Summary of Significant Accounting Policies, to the Condensed Consolidated Financial Statements. The Company manages its assets on a total company basis and the CODM does not review asset information by segment when assessing performance or allocating resources. Consequently, the Company does not report total assets by reportable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reportable segment results are as follows:</w:t>
      </w:r>
    </w:p>
    <w:tbl>
      <w:tblPr>
        <w:tblW w:w="10110" w:type="dxa"/>
        <w:jc w:val="left"/>
        <w:tblInd w:w="0" w:type="dxa"/>
        <w:tblLayout w:type="fixed"/>
        <w:tblCellMar>
          <w:top w:w="28" w:type="dxa"/>
          <w:left w:w="28" w:type="dxa"/>
          <w:bottom w:w="28" w:type="dxa"/>
          <w:right w:w="28" w:type="dxa"/>
        </w:tblCellMar>
      </w:tblPr>
      <w:tblGrid>
        <w:gridCol w:w="1607"/>
        <w:gridCol w:w="1409"/>
        <w:gridCol w:w="142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U.S.</w:t>
            </w:r>
            <w:r>
              <w:rPr>
                <w:rFonts w:ascii="Times New Roman;serif" w:hAnsi="Times New Roman;serif"/>
                <w:b/>
                <w:i/>
                <w:color w:val="000000"/>
                <w:sz w:val="10"/>
              </w:rPr>
              <w:t>(1)</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adjusted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 adjusted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U.S.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39,301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25,841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adjusted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 adjusted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International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33,118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 adjusted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adjusted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0"/>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Market Development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 Reportable Segment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reportable segment 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330,995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754,951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reportable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78,954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for more information on the impact of refranchising.</w:t>
      </w:r>
    </w:p>
    <w:p>
      <w:pPr>
        <w:pStyle w:val="TextBody"/>
        <w:bidi w:val="0"/>
        <w:spacing w:lineRule="auto" w:line="288" w:before="0" w:after="0"/>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The U.S. and International segments’ Other segment items consist of pre-opening costs and other income, net. The Market Development segment’s Other segment items consist of operating expenses, marketing expenses, pre-opening costs, and other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EBITDA:</w:t>
      </w:r>
    </w:p>
    <w:tbl>
      <w:tblPr>
        <w:tblW w:w="10205" w:type="dxa"/>
        <w:jc w:val="left"/>
        <w:tblInd w:w="0" w:type="dxa"/>
        <w:tblLayout w:type="fixed"/>
        <w:tblCellMar>
          <w:top w:w="28" w:type="dxa"/>
          <w:left w:w="28" w:type="dxa"/>
          <w:bottom w:w="28" w:type="dxa"/>
          <w:right w:w="28" w:type="dxa"/>
        </w:tblCellMar>
      </w:tblPr>
      <w:tblGrid>
        <w:gridCol w:w="1701"/>
        <w:gridCol w:w="1397"/>
        <w:gridCol w:w="1425"/>
        <w:gridCol w:w="211"/>
        <w:gridCol w:w="793"/>
        <w:gridCol w:w="109"/>
        <w:gridCol w:w="109"/>
        <w:gridCol w:w="109"/>
        <w:gridCol w:w="109"/>
        <w:gridCol w:w="211"/>
        <w:gridCol w:w="892"/>
        <w:gridCol w:w="109"/>
        <w:gridCol w:w="109"/>
        <w:gridCol w:w="109"/>
        <w:gridCol w:w="109"/>
        <w:gridCol w:w="211"/>
        <w:gridCol w:w="793"/>
        <w:gridCol w:w="109"/>
        <w:gridCol w:w="109"/>
        <w:gridCol w:w="109"/>
        <w:gridCol w:w="109"/>
        <w:gridCol w:w="211"/>
        <w:gridCol w:w="892"/>
        <w:gridCol w:w="160"/>
      </w:tblGrid>
      <w:tr>
        <w:trPr/>
        <w:tc>
          <w:tcPr>
            <w:tcW w:w="170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Other non-operating income, net </w:t>
            </w:r>
            <w:r>
              <w:rPr>
                <w:rFonts w:ascii="Times New Roman;serif" w:hAnsi="Times New Roman;serif"/>
                <w:b w:val="false"/>
                <w:color w:val="000000"/>
                <w:sz w:val="10"/>
              </w:rPr>
              <w:t>(1)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Strategic initiatives </w:t>
            </w:r>
            <w:r>
              <w:rPr>
                <w:rFonts w:ascii="Times New Roman;serif" w:hAnsi="Times New Roman;serif"/>
                <w:b w:val="false"/>
                <w:color w:val="000000"/>
                <w:sz w:val="10"/>
              </w:rPr>
              <w:t>(2)</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Acquisition and integration expenses </w:t>
            </w:r>
            <w:r>
              <w:rPr>
                <w:rFonts w:ascii="Times New Roman;serif" w:hAnsi="Times New Roman;serif"/>
                <w:b w:val="false"/>
                <w:color w:val="000000"/>
                <w:sz w:val="10"/>
              </w:rPr>
              <w:t>(3)</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New market penetration expenses </w:t>
            </w:r>
            <w:r>
              <w:rPr>
                <w:rFonts w:ascii="Times New Roman;serif" w:hAnsi="Times New Roman;serif"/>
                <w:b w:val="false"/>
                <w:color w:val="000000"/>
                <w:sz w:val="10"/>
              </w:rPr>
              <w:t>(4)</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Shop closure expenses, net </w:t>
            </w:r>
            <w:r>
              <w:rPr>
                <w:rFonts w:ascii="Times New Roman;serif" w:hAnsi="Times New Roman;serif"/>
                <w:b w:val="false"/>
                <w:color w:val="000000"/>
                <w:sz w:val="10"/>
              </w:rPr>
              <w:t>(5)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Restructuring and severance expenses </w:t>
            </w:r>
            <w:r>
              <w:rPr>
                <w:rFonts w:ascii="Times New Roman;serif" w:hAnsi="Times New Roman;serif"/>
                <w:b w:val="false"/>
                <w:color w:val="000000"/>
                <w:sz w:val="10"/>
              </w:rPr>
              <w:t>(6)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Gain on refranchising </w:t>
            </w:r>
            <w:r>
              <w:rPr>
                <w:rFonts w:ascii="Times New Roman;serif" w:hAnsi="Times New Roman;serif"/>
                <w:b w:val="false"/>
                <w:color w:val="000000"/>
                <w:sz w:val="10"/>
              </w:rPr>
              <w:t>(7)</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0"/>
              </w:rPr>
              <w:t>(8)</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acquisition related intangibles </w:t>
            </w:r>
            <w:r>
              <w:rPr>
                <w:rFonts w:ascii="Times New Roman;serif" w:hAnsi="Times New Roman;serif"/>
                <w:b w:val="false"/>
                <w:color w:val="000000"/>
                <w:sz w:val="10"/>
              </w:rPr>
              <w:t>(9)</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0"/>
              </w:rPr>
              <w:t>(10)</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amortization of right of use assets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80"/>
              <w:jc w:val="left"/>
              <w:rPr>
                <w:rFonts w:ascii="Times New Roman;serif" w:hAnsi="Times New Roman;serif"/>
                <w:b/>
                <w:color w:val="000000"/>
                <w:sz w:val="20"/>
              </w:rPr>
            </w:pPr>
            <w:r>
              <w:rPr>
                <w:rFonts w:ascii="Times New Roman;serif" w:hAnsi="Times New Roman;serif"/>
                <w:b/>
                <w:color w:val="000000"/>
                <w:sz w:val="20"/>
              </w:rPr>
              <w:t>Reportable 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78,954</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foreign translation gains and losses in each period. The quarter and two quarters ended June 29, 2025 also consists of equity method income from Insomnia Cookies following the divestiture of a controlling interest in Insomnia Cookies during fiscal 2024 until the sale of our remaining interest in the second quarter of fiscal 2025.</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quarter and two quarters ended June 28, 2026 consists primarily of $2.1 million and $6.3 million, respectively, of costs associated with the evaluation and execution of refranchising certain equity markets as well as $1.3 million and $4.2 million, respectively, in costs associated with the transition to third party logistics in the U.S.; of that amount $1.7 million and $3.3 million, respectively, is related to non-cash impairments. The quarter and two quarters ended June 29, 2025 consists primarily of $20.9 million and $23.3 million, respectively, of costs associated with preparing for and executing the U.S. national expansion (including McDonald’s).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Consists of start-up costs associated with entry into new countries in which the Company’s brands had not previously operated, including Brazil and Spain.</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lease termination costs, impairment charges, and loss on disposal of property, plant and equipment. </w:t>
      </w:r>
    </w:p>
    <w:p>
      <w:pPr>
        <w:pStyle w:val="TextBody"/>
        <w:bidi w:val="0"/>
        <w:spacing w:lineRule="auto" w:line="288" w:before="0" w:after="0"/>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The quarter and two quarters ended June 28, 2026 consist primarily of costs associated with restructuring the Australia and New Zealand business. The quarter and two quarters ended June 29, 2025 consist primarily of costs associated with restructuring of the U.S. and U.K. businesses.</w:t>
      </w:r>
    </w:p>
    <w:p>
      <w:pPr>
        <w:pStyle w:val="TextBody"/>
        <w:bidi w:val="0"/>
        <w:spacing w:lineRule="auto" w:line="288" w:before="0" w:after="0"/>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Includes gains and losses on the deconsolidation of assets and liabilities associated with the refranchising of Krispy Kreme shops.</w:t>
      </w:r>
    </w:p>
    <w:p>
      <w:pPr>
        <w:pStyle w:val="TextBody"/>
        <w:bidi w:val="0"/>
        <w:spacing w:lineRule="auto" w:line="288" w:before="0" w:after="0"/>
        <w:ind w:left="0" w:right="0" w:hanging="360"/>
        <w:jc w:val="both"/>
        <w:rPr/>
      </w:pPr>
      <w:r>
        <w:rPr>
          <w:rFonts w:ascii="Times New Roman;serif" w:hAnsi="Times New Roman;serif"/>
          <w:b w:val="false"/>
          <w:color w:val="000000"/>
          <w:sz w:val="13"/>
        </w:rPr>
        <w:t>(8)</w:t>
      </w:r>
      <w:r>
        <w:rPr>
          <w:rFonts w:ascii="Times New Roman;serif" w:hAnsi="Times New Roman;serif"/>
          <w:b w:val="false"/>
          <w:color w:val="000000"/>
          <w:sz w:val="20"/>
        </w:rPr>
        <w:t xml:space="preserve">The quarter and two quarters ended June 28, 2026 consists primarily of $0.8 million and $1.6 million, respectively, of legal fees primarily related to shareholder derivative litigation. Refer to </w:t>
      </w:r>
      <w:hyperlink w:anchor="i6781294ebfbd46738ac2f0e45c372155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to the Condensed Consolidated Financial Statements for more information on the Company’s pending litigation. The quarter and two quarters ended June 29, 2025 consists primarily of $0.9 million and $5.3 million, respectively, in costs related to remediation of the 2024 Cybersecurity Incident, including fees for cybersecurity experts and other advisors.</w:t>
      </w:r>
    </w:p>
    <w:p>
      <w:pPr>
        <w:pStyle w:val="TextBody"/>
        <w:bidi w:val="0"/>
        <w:spacing w:lineRule="auto" w:line="288" w:before="0" w:after="0"/>
        <w:ind w:left="0" w:right="0" w:hanging="360"/>
        <w:jc w:val="both"/>
        <w:rPr/>
      </w:pPr>
      <w:r>
        <w:rPr>
          <w:rFonts w:ascii="Times New Roman;serif" w:hAnsi="Times New Roman;serif"/>
          <w:b w:val="false"/>
          <w:color w:val="000000"/>
          <w:sz w:val="13"/>
        </w:rPr>
        <w:t>(9)</w:t>
      </w:r>
      <w:r>
        <w:rPr>
          <w:rFonts w:ascii="Times New Roman;serif" w:hAnsi="Times New Roman;serif"/>
          <w:b w:val="false"/>
          <w:color w:val="000000"/>
          <w:sz w:val="20"/>
        </w:rPr>
        <w:t>Consists of amortization related to acquired intangible assets as reflected within depreciation and amortization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13"/>
        </w:rPr>
        <w:t>(10)</w:t>
      </w:r>
      <w:r>
        <w:rPr>
          <w:rFonts w:ascii="Times New Roman;serif" w:hAnsi="Times New Roman;serif"/>
          <w:b w:val="false"/>
          <w:color w:val="000000"/>
          <w:sz w:val="20"/>
        </w:rPr>
        <w:t xml:space="preserve">Corporate expenses are not included in the CODM’s measure of segment profitability. These amounts are presented as a reconciling item between total reportable segment Adjusted EBITDA and consolidated Adjusted EBITDA. In the quarter and two quarters ended June 28, 2026 corporate expenses consist primarily of $20.2 million and $40.5 million, respectively, and the quarter and two quarters ended June 29, 2025 consist of $19.4 million and $39.7 million, respectively, in selling, general and administrative expenses, which principally comprise payroll and benefits for corporate functions, professional fees, enterprise information technology, and other headquarters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Note 18 —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transactions described below, the Company maintained agreements with its joint venture partners that held noncontrolling interests in the Company’s consolidated subsidiaries W.K.S. Krispy Kreme and KK Canada, which included contractual put options. The put options, held by the noncontrolling joint venture partners, provided the right for each such partner to sell its remaining interest in W.K.S. Krispy Kreme and KK Canada to the Company based on a predetermined formula. The put options became exercisable upon the passage of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interests were considered redeemable due to the existence of the put options as (i) the noncontrolling joint venture partners could put their shares of W.K.S. Krispy Kreme and KK Canada to the Company, (ii) the put was outside the Company’s control; and (iii) it was probable of becoming redeemable solely based on the passage of time. The put options cannot be separated from the noncontrolling interest and did not require bifurcation from the noncontrolling interest under the guidance in ASC 815. </w:t>
      </w:r>
    </w:p>
    <w:p>
      <w:pPr>
        <w:pStyle w:val="TextBody"/>
        <w:bidi w:val="0"/>
        <w:spacing w:lineRule="auto" w:line="288" w:before="240" w:after="283"/>
        <w:jc w:val="both"/>
        <w:rPr/>
      </w:pPr>
      <w:r>
        <w:rPr>
          <w:rFonts w:ascii="Times New Roman;serif" w:hAnsi="Times New Roman;serif"/>
          <w:b w:val="false"/>
          <w:color w:val="000000"/>
          <w:sz w:val="20"/>
        </w:rPr>
        <w:t>The noncontrolling interest was classified as redeemable noncontrolling interest within Mezzanine equity on the Condensed Consolidated Balance Sheets. When redeemable noncontrolling interest becomes redeemable, or it is probable of becoming redeemable, its value is adjusted to the greater of the current redemption value or carrying value.</w:t>
      </w:r>
      <w:r>
        <w:rPr>
          <w:color w:val="000000"/>
        </w:rPr>
        <w:t xml:space="preserve"> </w:t>
      </w:r>
      <w:r>
        <w:rPr>
          <w:rFonts w:ascii="Times New Roman;serif" w:hAnsi="Times New Roman;serif"/>
          <w:b w:val="false"/>
          <w:color w:val="000000"/>
          <w:sz w:val="20"/>
        </w:rPr>
        <w:t>The redemption value is remeasured on a quarterly basis based on the predetermined formula set forth in the Company’s agreements with the joint venture partners.</w:t>
      </w:r>
    </w:p>
    <w:p>
      <w:pPr>
        <w:pStyle w:val="TextBody"/>
        <w:bidi w:val="0"/>
        <w:spacing w:lineRule="auto" w:line="288" w:before="240" w:after="283"/>
        <w:jc w:val="both"/>
        <w:rPr/>
      </w:pPr>
      <w:r>
        <w:rPr>
          <w:rFonts w:ascii="Times New Roman;serif" w:hAnsi="Times New Roman;serif"/>
          <w:b w:val="false"/>
          <w:color w:val="000000"/>
          <w:sz w:val="20"/>
        </w:rPr>
        <w:t xml:space="preserve">On March 23, 2026, the Company completed a refranchising transaction that resulted in, among other things, a decrease in ownership interest in W.K.S. Krispy Kreme to 20%. As a result of the WKS Refranchising, described in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the Company no longer has an interest classified as a redeemable noncontrolling interest in W.K.S. Krispy Kreme as of that date.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joint venture partners in KK Canada notified the Company of their election to exercise their rights to require the Company to redeem all interests held by such noncontrolling interest holders, which required the Company to purchase the additional 43.48% equity interest in KK Canada. The purchase, which was completed in the second quarter of 2026, increased the Company’s ownership from 56.52% to 100%. As a result of the exercise, the Company reclassified its redeemable noncontrolling interest to a liability, which is reflected in Accrued Liabilities in the Condensed Consolidated Balance Sheet as of March 29, 2026. The purchase price of approximately $25 million for the additional equity interest in KK Canada was paid during the second quarter of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redeemable noncontrolling interests are as follows:</w:t>
      </w:r>
    </w:p>
    <w:p>
      <w:pPr>
        <w:pStyle w:val="TextBody"/>
        <w:bidi w:val="0"/>
        <w:spacing w:before="0" w:after="0"/>
        <w:jc w:val="left"/>
        <w:rPr/>
      </w:pPr>
      <w:r>
        <w:rPr/>
      </w:r>
    </w:p>
    <w:tbl>
      <w:tblPr>
        <w:tblW w:w="6356" w:type="dxa"/>
        <w:jc w:val="left"/>
        <w:tblInd w:w="0" w:type="dxa"/>
        <w:tblLayout w:type="fixed"/>
        <w:tblCellMar>
          <w:top w:w="28" w:type="dxa"/>
          <w:left w:w="28" w:type="dxa"/>
          <w:bottom w:w="28" w:type="dxa"/>
          <w:right w:w="28" w:type="dxa"/>
        </w:tblCellMar>
      </w:tblPr>
      <w:tblGrid>
        <w:gridCol w:w="1580"/>
        <w:gridCol w:w="1388"/>
        <w:gridCol w:w="1396"/>
        <w:gridCol w:w="109"/>
        <w:gridCol w:w="109"/>
        <w:gridCol w:w="109"/>
        <w:gridCol w:w="323"/>
        <w:gridCol w:w="1106"/>
        <w:gridCol w:w="236"/>
      </w:tblGrid>
      <w:tr>
        <w:trPr/>
        <w:tc>
          <w:tcPr>
            <w:tcW w:w="15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upon refranchising of W.K.S. Krispy Kreme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to redemption value of KK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together with our unaudited Condensed Consolidated Financial Statements and related notes included elsewhere in this Quarterly Report on Form 10-Q (this “Form 10-Q”), as well as our audited Consolidated Financial Statements and related notes included in our Annual Report on Form 10-K, and in other reports filed subsequently with the U.S. Securities and Exchange Commission (“SEC”).</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included in this Form 10-Q is forward-looking within the meaning of the Private Securities Litigation Reform Act of 1995, and involves risks, assumptions, and uncertainties that could cause actual results to differ materially from those expressed or implied by forward-looking statements. Forward-looking statements can be identified by use of forward-looking terminology, including terms such as “plan,” “believe,” “may,” “continue,” “could,” “will,” “should,” “would,” “anticipate,” “attempt,” “estimate,” “expect,” “intend,” “objective,” “seek,” “pursue,” “strive,” or, the negatives of these words, comparable terminology, or other references to future periods; however, statements may be forward-looking whether or not these terms or their negatives are used. Forward-looking statements are not a representation by us that the future plans, estimates, or expectations contemplated by us will be achieved. Our actual results could differ materially from the forward-looking statements included herein. We consider the assumptions and estimates on which forward-looking statements are based to be reasonable, but they are subject to various risks and uncertainties relating to our operations, financial results, financial conditions, business, prospects, future plans and strategies, projections, liquidity, the economy, and other future conditions. Therefore, you should not place undue reliance on any of these forward-looking statements. Important factors could cause our actual results to differ materially from those contained in forward-looking statements including, without limitation: food safety issues, including risks of food-borne illnesses, tampering, contamination, and cross-contamination; impacts from any material failure, inadequacy, or interruption of our information technology systems, including breaches or failures of such systems or other cybersecurity or data security-related incidents; our ability to execute our business strategy, including our turnaround plan and growth through international development with strategic partners and profitable expansion of our fresh delivery and digital channels; our ability to realize the anticipated benefits from past or potential future strategic transactions (including refranchising); failure by our franchisees, subfranchisees, or third-party service providers to operate effectively and in compliance with our standards and applicable law; any harm to our reputation or brand image; negative impacts on our business due to changes in consumer spending habits, consumer preferences, or demographic trends; our ability to open new and maintain existing shops and points of access both domestically and internationally; disruptions to our and our franchisees’ supply chain, including the loss of or failure to perform by single-source or limited suppliers, vendors, distributors, or manufacturers; our significant indebtedness and our ability to meet the financial and other covenants under our credit facilities; changes in the cost of raw materials and fuel or other commodities, including due to import and export requirements (including tariffs), inflation, fluctuations in foreign exchange rates, or heightened geopolitical tensions (including the recent Iran conflict); our ability to recruit and retain key personnel; failure to develop or maintain effective internal control over financial reporting or disclosure controls and procedures; adverse regulatory actions or publicity concerning food or occupational safety, food quality, health, and other issues or regulatory investigations, enforcement actions, or material litigation; and other risks and uncertainties described under the heading “Risk Factors” and elsewhere in our Annual Report on Form 10-K, filed by us with the SEC and in other filings we make from time to time with the SEC. These forward-looking statements are made only as of the date of this document, and we undertake no obligation to publicly update or revise any forward-looking statement whether as a result of new information, future events,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6938"/>
          <w:sz w:val="20"/>
        </w:rPr>
        <w:t>Overview</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Krispy Kreme is one of the most beloved and well-known sweet treat brands in the world. Krispy Kreme operates in more than 40 countries through its unique network of shops (“Doughnut Shops”), partnerships with leading retailers, and growing digital business. Our purpose is to touch and enhance lives through the joy that is Krispy Kreme. We are an omni-channel business that focuses on fresh, high-quality doughnuts with 15,665 points of access globally as of the end of the second quarter of fiscal 2026. We refer to the points of access where consumers can purchase our doughnuts as our “Global Points of Access” or, when referring to points of access in a particular region or segment, “Points of Access.” We sell doughnuts to consumers through three main channels: (1) Hot Light Theater Shops and Fresh Shops, (2) fresh delivery, and (3) digital.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financial results for the periods presented: </w:t>
      </w:r>
    </w:p>
    <w:tbl>
      <w:tblPr>
        <w:tblW w:w="10205" w:type="dxa"/>
        <w:jc w:val="left"/>
        <w:tblInd w:w="0" w:type="dxa"/>
        <w:tblLayout w:type="fixed"/>
        <w:tblCellMar>
          <w:top w:w="28" w:type="dxa"/>
          <w:left w:w="28" w:type="dxa"/>
          <w:bottom w:w="28" w:type="dxa"/>
          <w:right w:w="28" w:type="dxa"/>
        </w:tblCellMar>
      </w:tblPr>
      <w:tblGrid>
        <w:gridCol w:w="750"/>
        <w:gridCol w:w="558"/>
        <w:gridCol w:w="562"/>
        <w:gridCol w:w="211"/>
        <w:gridCol w:w="826"/>
        <w:gridCol w:w="109"/>
        <w:gridCol w:w="109"/>
        <w:gridCol w:w="109"/>
        <w:gridCol w:w="109"/>
        <w:gridCol w:w="211"/>
        <w:gridCol w:w="826"/>
        <w:gridCol w:w="109"/>
        <w:gridCol w:w="109"/>
        <w:gridCol w:w="109"/>
        <w:gridCol w:w="109"/>
        <w:gridCol w:w="271"/>
        <w:gridCol w:w="271"/>
        <w:gridCol w:w="483"/>
        <w:gridCol w:w="109"/>
        <w:gridCol w:w="109"/>
        <w:gridCol w:w="109"/>
        <w:gridCol w:w="211"/>
        <w:gridCol w:w="826"/>
        <w:gridCol w:w="109"/>
        <w:gridCol w:w="109"/>
        <w:gridCol w:w="109"/>
        <w:gridCol w:w="109"/>
        <w:gridCol w:w="211"/>
        <w:gridCol w:w="826"/>
        <w:gridCol w:w="109"/>
        <w:gridCol w:w="109"/>
        <w:gridCol w:w="109"/>
        <w:gridCol w:w="109"/>
        <w:gridCol w:w="269"/>
        <w:gridCol w:w="273"/>
        <w:gridCol w:w="549"/>
      </w:tblGrid>
      <w:tr>
        <w:trPr/>
        <w:tc>
          <w:tcPr>
            <w:tcW w:w="7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Revenues </w:t>
            </w:r>
            <w:r>
              <w:rPr>
                <w:rFonts w:ascii="Times New Roman;serif" w:hAnsi="Times New Roman;serif"/>
                <w:b w:val="false"/>
                <w:color w:val="000000"/>
                <w:sz w:val="10"/>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Krispy Kreme, Inc.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Adjusted Net Loss, Diluted </w:t>
            </w:r>
            <w:r>
              <w:rPr>
                <w:rFonts w:ascii="Times New Roman;serif" w:hAnsi="Times New Roman;serif"/>
                <w:b w:val="false"/>
                <w:color w:val="000000"/>
                <w:sz w:val="10"/>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0"/>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Organic revenue decline was 0.3% and 1.5%, respectively, in the quarter and two quarters ended June 28, 2026. Refer to “</w:t>
      </w:r>
      <w:hyperlink w:anchor="i6781294ebfbd46738ac2f0e45c372155_106">
        <w:r>
          <w:rPr>
            <w:rStyle w:val="InternetLink"/>
            <w:rFonts w:ascii="Times New Roman;serif" w:hAnsi="Times New Roman;serif"/>
            <w:b w:val="false"/>
            <w:color w:val="0000FF"/>
            <w:sz w:val="20"/>
            <w:u w:val="single"/>
          </w:rPr>
          <w:t>Results of Operations</w:t>
        </w:r>
      </w:hyperlink>
      <w:r>
        <w:rPr>
          <w:color w:val="000000"/>
        </w:rPr>
        <w:t xml:space="preserve">” </w:t>
      </w:r>
      <w:r>
        <w:rPr>
          <w:rFonts w:ascii="Times New Roman;serif" w:hAnsi="Times New Roman;serif"/>
          <w:b w:val="false"/>
          <w:color w:val="000000"/>
          <w:sz w:val="20"/>
        </w:rPr>
        <w:t>below for more information on and the calculation of organic revenue growth/(decline).</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Refer to “</w:t>
      </w:r>
      <w:hyperlink w:anchor="i6781294ebfbd46738ac2f0e45c372155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below for more information as to how we define and calculate Adjusted EBITDA and Adjusted Net Income/(Loss), Diluted and for a reconciliation of Adjusted EBITDA and Adjusted Net Income/(Loss), Diluted to the most comparable measure calculated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Significant Events and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Turnaround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comprehensive turnaround plan, announced in August 2025, is designed to deleverage the balance sheet and deliver sustainable, profitable growth. The four components of the plan and certain progress made on each component are as follows: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Refranchising</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Improve financial flexibility through pursuit of opportunities to refranchise certain international equity markets. In the first two quarters of fiscal 2026, we restructured our consolidated subsidiary in the western U.S., W.K.S. Krispy Kreme, to a minority ownership interest and completed the sale of our operations in Japan. We continue to evaluate additional refranchising opportunities and remain focused on identifying the right partners both in international markets and the U.S. to maximize value and position the Company for long-term growth.</w:t>
      </w:r>
    </w:p>
    <w:p>
      <w:pPr>
        <w:pStyle w:val="TextBody"/>
        <w:bidi w:val="0"/>
        <w:spacing w:lineRule="auto" w:line="288" w:before="120" w:after="283"/>
        <w:ind w:left="0" w:right="0" w:hanging="540"/>
        <w:jc w:val="left"/>
        <w:rPr/>
      </w:pPr>
      <w:r>
        <w:rPr>
          <w:color w:val="000000"/>
        </w:rPr>
        <w:t>•</w:t>
      </w:r>
      <w:r>
        <w:rPr>
          <w:rFonts w:ascii="Times New Roman;serif" w:hAnsi="Times New Roman;serif"/>
          <w:b/>
          <w:i/>
          <w:color w:val="000000"/>
          <w:sz w:val="20"/>
        </w:rPr>
        <w:t xml:space="preserve">Improving return on invested capital: </w:t>
      </w:r>
      <w:r>
        <w:rPr>
          <w:rFonts w:ascii="Times New Roman;serif" w:hAnsi="Times New Roman;serif"/>
          <w:b w:val="false"/>
          <w:color w:val="000000"/>
          <w:sz w:val="20"/>
        </w:rPr>
        <w:t>Reduce capital intensity by using existing assets and focusing on franchise development. During the first two quarters of fiscal 2026 capital expenditures decreased by $38 million when compared to the first two quarters of 2025, and we expect to continue to reduce capital investment in fiscal 2026 compared to fiscal 2025. We are also making selective, capital-light investments in geographies which currently have limited access to our products or where we have insufficient production to meet demand. This includes expansion into new international franchise markets. We entered into agreements for three new markets, the Netherlands, Estonia, and Mauritius, during the first two quarters of fiscal 2026. In the first half of the year, we opened 59 shops, nearly all franchised and remain on track to open at least 100 new shops in 2026.</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Expanding profit margins: </w:t>
      </w:r>
      <w:r>
        <w:rPr>
          <w:rFonts w:ascii="Times New Roman;serif" w:hAnsi="Times New Roman;serif"/>
          <w:b w:val="false"/>
          <w:color w:val="000000"/>
          <w:sz w:val="20"/>
        </w:rPr>
        <w:t>Expand profit margins through greater operational efficiency. During the first two quarters of fiscal 2026, we continued our focus in the U.S. on making doughnuts more efficiently through optimizing production, streamlining Hub operations, and improving labor productivity. In addition, we continued our focus on delivering fresh doughnuts more efficiently through improved route management, improved demand planning, optimization of production and delivery schedules, and outsourced U.S. logistics to third-party logistics (“3PL”) carriers which we completed in the second quarter of fiscal 2026.</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Driving sustainable, profitable growth: </w:t>
      </w:r>
      <w:r>
        <w:rPr>
          <w:rFonts w:ascii="Times New Roman;serif" w:hAnsi="Times New Roman;serif"/>
          <w:b w:val="false"/>
          <w:color w:val="000000"/>
          <w:sz w:val="20"/>
        </w:rPr>
        <w:t>Pursue U.S. growth based upon sustainable and profitable revenue streams. During the first two quarters of fiscal 2026, the number of fresh delivery doors, inclusive of both Company- and franchise-operated locations, increased 448 doors in the U.S. with strategic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Digital, Brand, and Innovation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prioritize expanding our digital channel sales, which grew in the first two quarters of fiscal 2026 compared to the first two quarters of fiscal 2025. Growth in our digital channel is due to improvements in our branded digital platform as well as increasing product availability through third party digital channels, including delivery apps and our customers’ digital platforms. Innovation is also a significant driver of frequency as we create promotions and products that attract media outlets to our brand across our Global Points of Access. Additionally, we deliver new product experiences that align with seasonal and trending consumer and societal interests and create positive connections through simple, frequent, brand-focused offerings that encourage shared experiences. During the second quarter of fiscal 2026, we delivered the joy that is Krispy Kreme by spotlighting our core offerings such as the Original Glazed doughnut, supplemented by specialty doughnut offerings and seasonal activations, including MilkBar Collection, Mother’s Day with minis for Mom, Masters of the Universe, Match Day Dozen, and many others around the world.</w:t>
      </w:r>
    </w:p>
    <w:p>
      <w:pPr>
        <w:pStyle w:val="TextBody"/>
        <w:bidi w:val="0"/>
        <w:spacing w:before="0" w:after="0"/>
        <w:jc w:val="left"/>
        <w:rPr/>
      </w:pPr>
      <w:r>
        <w:rPr/>
      </w:r>
    </w:p>
    <w:p>
      <w:pPr>
        <w:pStyle w:val="TextBody"/>
        <w:bidi w:val="0"/>
        <w:spacing w:before="240" w:after="283"/>
        <w:jc w:val="center"/>
        <w:rPr/>
      </w:pPr>
      <w:r>
        <w:rPr/>
        <w:drawing>
          <wp:inline distT="0" distB="0" distL="0" distR="0">
            <wp:extent cx="4572000" cy="257175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4572000" cy="2571750"/>
                    </a:xfrm>
                    <a:prstGeom prst="rect">
                      <a:avLst/>
                    </a:prstGeom>
                  </pic:spPr>
                </pic:pic>
              </a:graphicData>
            </a:graphic>
          </wp:inline>
        </w:drawing>
      </w:r>
      <w:bookmarkStart w:id="1" w:name="i-2"/>
      <w:bookmarkEnd w:id="1"/>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Termination of the Business Relationship Agreement with McDonald’s USA</w:t>
      </w:r>
    </w:p>
    <w:p>
      <w:pPr>
        <w:pStyle w:val="TextBody"/>
        <w:bidi w:val="0"/>
        <w:spacing w:lineRule="auto" w:line="288" w:before="120" w:after="283"/>
        <w:jc w:val="both"/>
        <w:rPr/>
      </w:pPr>
      <w:r>
        <w:rPr>
          <w:rFonts w:ascii="Times New Roman;serif" w:hAnsi="Times New Roman;serif"/>
          <w:b w:val="false"/>
          <w:color w:val="000000"/>
          <w:sz w:val="20"/>
        </w:rPr>
        <w:t xml:space="preserve">On June 24, 2025, we and McDonald’s USA announced that our companies jointly decided to terminate the Business Relationship Agreement effective July 2, 2025, resulting in the reduction of approximately 2,400 fresh delivery doors in the third quarter of fiscal 2025. We worked to quickly remove costs related to the McDonald’s USA partnership. Refer to </w:t>
      </w:r>
      <w:hyperlink w:anchor="i6781294ebfbd46738ac2f0e45c372155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Description of Business and Summary of Significant Accounting Policies, to the Condensed Consolidated Financial Statements included in Item 1 of Part I of this Form 10-Q for further information (the “Condensed Consolidated Financial Statements”).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2024 Cybersecurity Incident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during the fourth quarter of fiscal 2024, unauthorized activity on a portion of our information technology systems resulted in our experiencing certain operational disruptions, including with online ordering in parts of the U.S. (the “2024 Cybersecurity Incident”). We incurred losses and costs from the incident, primarily in the fourth quarter of fiscal 2024 and early in the first quarter of fiscal 2025. We hold cybersecurity insurance which offset a portion of the losses and costs from the incident. The investigation of the 2024 Cybersecurity Incident was substantially completed in the second quarter of fiscal 2025.</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Tariffs, Global Trade, and Geopolitical Uncertainty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imposition of tariffs by the U.S. on imports has heightened uncertainty in the global trade environment. These tariffs, along with retaliatory measures by other countries, may increase inflationary pressure and raise the costs of our imported commodities, including, but not limited to, palm oil. Additionally, the broader implications of tariff-driven price increases could influence consumer spending habits and negatively affect our business. These factors have caused, and may continue to cause, substantial uncertainty and volatility in financial markets, and may result in further retaliatory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above, conflicts involving Iran and in the Middle East more broadly have contributed to increased global economic instability and increases in fuel and other commodity prices, exacerbating inflationary pressures. These developments could impact our business by way of supply chain disruptions and increasing transportation costs, contributing to higher costs of materials and logistics across our global supply chain. We are monitoring developments with respect to the ongoing military conflict with Iran including the impact on global commodity prices and potential logistics disruptions. We may experience increases in transportation costs or delays in the shipment or delivery of our products.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unable to fully offset any such increases by adjusting the pricing of our products. Any of these factors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Revision of Financial Statements</w:t>
      </w:r>
    </w:p>
    <w:p>
      <w:pPr>
        <w:pStyle w:val="TextBody"/>
        <w:bidi w:val="0"/>
        <w:spacing w:lineRule="auto" w:line="288" w:before="120" w:after="283"/>
        <w:jc w:val="left"/>
        <w:rPr/>
      </w:pPr>
      <w:r>
        <w:rPr>
          <w:rFonts w:ascii="Times New Roman;serif" w:hAnsi="Times New Roman;serif"/>
          <w:b w:val="false"/>
          <w:color w:val="000000"/>
          <w:sz w:val="20"/>
        </w:rPr>
        <w:t xml:space="preserve">As discussed in </w:t>
      </w:r>
      <w:hyperlink w:anchor="i6781294ebfbd46738ac2f0e45c372155_37">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Revision of Financial Statements, to the Condensed Consolidated Financial Statements, the Company identified and corrected an error in the classification of its redeemable noncontrolling interests. Management determined the error did not materially misstate previously issued financial statements and would be appropriate to correct.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revised previously issued financial information included in this Quarterly Report. The revisions do not affect the Company’s previously reported operating results, cash flows, or financial condition apart from the reclassification within the equity section of the balance sheet and the required redemption value accretion recognized throughout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6938"/>
          <w:sz w:val="20"/>
        </w:rPr>
      </w:pPr>
      <w:r>
        <w:rPr>
          <w:rFonts w:ascii="Times New Roman;serif" w:hAnsi="Times New Roman;serif"/>
          <w:b/>
          <w:color w:val="006938"/>
          <w:sz w:val="20"/>
        </w:rPr>
        <w:t>Key Performance Indicators and Non-GAAP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monitor the key business metrics and non-GAAP metrics set forth below to help us evaluate our business and growth trends, establish budgets, measure the effectiveness of our sales and marketing efforts, and assess operational efficiencies. The calculation of the key business metrics discussed below may differ from other similarly titled metrics used by other companies, securities analysts, or investors.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this Form 10-Q, we utilize “Global Points of Access” as a key performance indicator. Global Points of Access reflect all locations at which fresh doughnuts can be purchased. We define Global Points of Access to include all Hot Light Theater Shops, Fresh Shops, Carts and Food Trucks, fresh delivery doors, and other points at which fresh doughnuts can be purchased, at both Company-owned and franchise locations as of the end of the applicable reporting period. We monitor Global Points of Access as a metric that informs the growth of our omni-channel presence over time and believe this metric is useful to investors to understand our footprint in each of our segments and by asset type.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Global Points of Access, by segment and type, as of the end of the second quarter of fiscal 2026, the second quarter of fiscal 2025, and fiscal 2025, respectively: </w:t>
      </w:r>
    </w:p>
    <w:tbl>
      <w:tblPr>
        <w:tblW w:w="8148" w:type="dxa"/>
        <w:jc w:val="left"/>
        <w:tblInd w:w="0" w:type="dxa"/>
        <w:tblLayout w:type="fixed"/>
        <w:tblCellMar>
          <w:top w:w="28" w:type="dxa"/>
          <w:left w:w="28" w:type="dxa"/>
          <w:bottom w:w="28" w:type="dxa"/>
          <w:right w:w="28" w:type="dxa"/>
        </w:tblCellMar>
      </w:tblPr>
      <w:tblGrid>
        <w:gridCol w:w="1301"/>
        <w:gridCol w:w="1139"/>
        <w:gridCol w:w="1160"/>
        <w:gridCol w:w="374"/>
        <w:gridCol w:w="374"/>
        <w:gridCol w:w="376"/>
        <w:gridCol w:w="133"/>
        <w:gridCol w:w="133"/>
        <w:gridCol w:w="133"/>
        <w:gridCol w:w="374"/>
        <w:gridCol w:w="374"/>
        <w:gridCol w:w="376"/>
        <w:gridCol w:w="119"/>
        <w:gridCol w:w="119"/>
        <w:gridCol w:w="119"/>
        <w:gridCol w:w="452"/>
        <w:gridCol w:w="452"/>
        <w:gridCol w:w="640"/>
      </w:tblGrid>
      <w:tr>
        <w:trPr/>
        <w:tc>
          <w:tcPr>
            <w:tcW w:w="130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Points of Access</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U.S.:</w:t>
            </w:r>
            <w:r>
              <w:rPr>
                <w:rFonts w:ascii="Times New Roman;serif" w:hAnsi="Times New Roman;serif"/>
                <w:b/>
                <w:i/>
                <w:color w:val="000000"/>
                <w:sz w:val="10"/>
              </w:rPr>
              <w:t>(1)</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Fresh Delivery Doors</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6,408</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7,463</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Carts, Food Trucks, and Other</w:t>
            </w:r>
            <w:r>
              <w:rPr>
                <w:rFonts w:ascii="Times New Roman;serif" w:hAnsi="Times New Roman;serif"/>
                <w:b w:val="false"/>
                <w:color w:val="000000"/>
                <w:sz w:val="10"/>
              </w:rPr>
              <w:t>(3)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4,411</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5,260</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4,822</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Hot Light Theater Shops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Carts, Food Trucks, and Other</w:t>
            </w:r>
            <w:r>
              <w:rPr>
                <w:rFonts w:ascii="Times New Roman;serif" w:hAnsi="Times New Roman;serif"/>
                <w:b w:val="false"/>
                <w:color w:val="000000"/>
                <w:sz w:val="10"/>
              </w:rPr>
              <w:t>(3)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Fresh Delivery Doors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4,846</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15,665</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18,113</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15,194</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Hot Light Theater Shops</w:t>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6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Fresh Shops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Shops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2,170</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2,125</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Carts, Food Trucks, and Other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Fresh Delivery Doors</w:t>
            </w:r>
            <w:r>
              <w:rPr>
                <w:rFonts w:ascii="Times New Roman;serif" w:hAnsi="Times New Roman;serif"/>
                <w:b/>
                <w:color w:val="000000"/>
                <w:sz w:val="10"/>
              </w:rPr>
              <w:t>(2)</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15,964</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13,022</w:t>
            </w: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Global Points of Access (as defined)</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15,665</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18,113</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15,194</w:t>
            </w:r>
            <w:r>
              <w:rPr>
                <w:color w:val="000000"/>
              </w:rPr>
              <w:t>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During the first quarter of fiscal 2026, certain points of access moved from the U.S. and International segments to the Market Development segment. 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more information on the impact of refranchising.</w:t>
      </w:r>
    </w:p>
    <w:p>
      <w:pPr>
        <w:pStyle w:val="TextBody"/>
        <w:bidi w:val="0"/>
        <w:spacing w:lineRule="auto" w:line="288" w:before="0" w:after="0"/>
        <w:ind w:left="0" w:right="0" w:hanging="540"/>
        <w:jc w:val="both"/>
        <w:rPr/>
      </w:pPr>
      <w:r>
        <w:rPr>
          <w:rFonts w:ascii="Times New Roman;serif" w:hAnsi="Times New Roman;serif"/>
          <w:b w:val="false"/>
          <w:color w:val="000000"/>
          <w:sz w:val="13"/>
        </w:rPr>
        <w:t>(2)</w:t>
      </w:r>
      <w:r>
        <w:rPr>
          <w:rFonts w:ascii="Times New Roman;serif" w:hAnsi="Times New Roman;serif"/>
          <w:b w:val="false"/>
          <w:color w:val="000000"/>
          <w:sz w:val="20"/>
        </w:rPr>
        <w:t>During fiscal 2025 we exited approximately 2,400 McDonald’s USA fresh delivery doors related to termination of the Business Relationship Agreement with McDonald’s USA.</w:t>
      </w:r>
    </w:p>
    <w:p>
      <w:pPr>
        <w:pStyle w:val="TextBody"/>
        <w:bidi w:val="0"/>
        <w:spacing w:lineRule="auto" w:line="288" w:before="0" w:after="0"/>
        <w:ind w:left="0" w:right="0" w:hanging="540"/>
        <w:jc w:val="both"/>
        <w:rPr/>
      </w:pPr>
      <w:r>
        <w:rPr>
          <w:rFonts w:ascii="Times New Roman;serif" w:hAnsi="Times New Roman;serif"/>
          <w:b w:val="false"/>
          <w:color w:val="000000"/>
          <w:sz w:val="13"/>
        </w:rPr>
        <w:t>(3)</w:t>
      </w:r>
      <w:r>
        <w:rPr>
          <w:rFonts w:ascii="Times New Roman;serif" w:hAnsi="Times New Roman;serif"/>
          <w:b w:val="false"/>
          <w:color w:val="000000"/>
          <w:sz w:val="20"/>
        </w:rPr>
        <w:t>Carts and Food Trucks are non-producing, mobile (typically on wheels) facilities without walls or a door where product is received from a Hot Light Theater Shop or Doughnut Factory. Other includes a vending machine. Points of Access in this category are primarily found in international locations in airports and train stations.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28, 2026, we had 15,665 Global Points of Access, with 2,170 Krispy Kreme branded shops, 49 Carts and Food Trucks, and 13,446 fresh delivery doors. During the second quarter of fiscal 2026, we added a net 30 additional Krispy Kreme branded Doughnut Shops globally, in countries such as Spain, Brazil, and Taiwan, among others. The decrease to the total Global Points of Access compared to the end of the second quarter of fiscal 2025 primarily relates to the exit of fresh delivery doors related to the strategic closure of underperforming fresh delivery doors, including the exit of fresh delivery doors related to the termination of the Business Relationship Agreement with McDonald’s USA.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utilize “Hubs” as a key performance indicator. We have an omni-channel strategy to reach more consumers where they are and drive sustainable, profitable growth, and this strategy is supported by a capital-efficient Hub and Spoke distribution model that provides a route to market and powers profitability. Our Hot Light Theater Shops and Doughnut Factories serve as centralized production facilities (“Hubs”). From these Hubs, we deliver doughnuts to our Fresh Shops, Carts and Food Trucks, and fresh delivery doors (“Spokes”) primarily through an integrated network of delivery routes, designed to ensure quality and freshness. During the second quarter of fiscal 2026, we completed outsourcing of our U.S. deliveries to 3PL carriers. In the U.S. segment, the decrease to the total number of Hubs as of June 28, 2026 compared to the end of the second quarter of fiscal 2025 primarily relates to the impact of refranchising and the optimization of our production network in the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Hubs, by segment and type, as of the end of the second quarter of fiscal 2026, the second quarter of fiscal 2025, and fiscal 2025, respectively:</w:t>
      </w:r>
    </w:p>
    <w:tbl>
      <w:tblPr>
        <w:tblW w:w="6753" w:type="dxa"/>
        <w:jc w:val="left"/>
        <w:tblInd w:w="0" w:type="dxa"/>
        <w:tblLayout w:type="fixed"/>
        <w:tblCellMar>
          <w:top w:w="28" w:type="dxa"/>
          <w:left w:w="28" w:type="dxa"/>
          <w:bottom w:w="28" w:type="dxa"/>
          <w:right w:w="28" w:type="dxa"/>
        </w:tblCellMar>
      </w:tblPr>
      <w:tblGrid>
        <w:gridCol w:w="808"/>
        <w:gridCol w:w="707"/>
        <w:gridCol w:w="720"/>
        <w:gridCol w:w="374"/>
        <w:gridCol w:w="374"/>
        <w:gridCol w:w="376"/>
        <w:gridCol w:w="133"/>
        <w:gridCol w:w="133"/>
        <w:gridCol w:w="133"/>
        <w:gridCol w:w="374"/>
        <w:gridCol w:w="374"/>
        <w:gridCol w:w="376"/>
        <w:gridCol w:w="109"/>
        <w:gridCol w:w="109"/>
        <w:gridCol w:w="109"/>
        <w:gridCol w:w="452"/>
        <w:gridCol w:w="452"/>
        <w:gridCol w:w="640"/>
      </w:tblGrid>
      <w:tr>
        <w:trPr/>
        <w:tc>
          <w:tcPr>
            <w:tcW w:w="8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Hubs</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U.S.:</w:t>
            </w:r>
            <w:r>
              <w:rPr>
                <w:rFonts w:ascii="Times New Roman;serif" w:hAnsi="Times New Roman;serif"/>
                <w:b/>
                <w:i/>
                <w:color w:val="000000"/>
                <w:sz w:val="10"/>
              </w:rPr>
              <w:t>(1)</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without Spokes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International:</w:t>
            </w:r>
            <w:r>
              <w:rPr>
                <w:rFonts w:ascii="Times New Roman;serif" w:hAnsi="Times New Roman;serif"/>
                <w:b/>
                <w:i/>
                <w:color w:val="000000"/>
                <w:sz w:val="10"/>
              </w:rPr>
              <w:t>(1)</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Doughnut Factories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Hubs with Spokes </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Market Development:</w:t>
            </w:r>
            <w:r>
              <w:rPr>
                <w:rFonts w:ascii="Times New Roman;serif" w:hAnsi="Times New Roman;serif"/>
                <w:b/>
                <w:i/>
                <w:color w:val="000000"/>
                <w:sz w:val="10"/>
              </w:rPr>
              <w:t>(1)</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Hot Light Theater Shops</w:t>
            </w:r>
            <w:r>
              <w:rPr>
                <w:rFonts w:ascii="Times New Roman;serif" w:hAnsi="Times New Roman;serif"/>
                <w:b w:val="false"/>
                <w:color w:val="000000"/>
                <w:sz w:val="10"/>
              </w:rPr>
              <w:t>(2)</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Doughnut Factories </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Hubs</w:t>
            </w:r>
            <w:r>
              <w:rPr>
                <w:rFonts w:ascii="Times New Roman;serif" w:hAnsi="Times New Roman;serif"/>
                <w:b/>
                <w:color w:val="000000"/>
                <w:sz w:val="10"/>
              </w:rPr>
              <w:t>(3)</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During the first quarter of fiscal 2026, certain Hubs moved from the U.S. and International segments to the Market Development segment. 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more information on the impact of refranchising.</w:t>
      </w:r>
    </w:p>
    <w:p>
      <w:pPr>
        <w:pStyle w:val="TextBody"/>
        <w:bidi w:val="0"/>
        <w:spacing w:lineRule="auto" w:line="288" w:before="0" w:after="0"/>
        <w:ind w:left="0" w:right="0" w:hanging="540"/>
        <w:jc w:val="both"/>
        <w:rPr/>
      </w:pPr>
      <w:r>
        <w:rPr>
          <w:rFonts w:ascii="Times New Roman;serif" w:hAnsi="Times New Roman;serif"/>
          <w:b w:val="false"/>
          <w:color w:val="000000"/>
          <w:sz w:val="13"/>
        </w:rPr>
        <w:t>(2)</w:t>
      </w:r>
      <w:r>
        <w:rPr>
          <w:rFonts w:ascii="Times New Roman;serif" w:hAnsi="Times New Roman;serif"/>
          <w:b w:val="false"/>
          <w:color w:val="000000"/>
          <w:sz w:val="20"/>
        </w:rPr>
        <w:t>Includes only Hot Light Theater Shops and excludes Mini Theaters. A Mini Theater is a Spoke location that produces some doughnuts for itself and also receives doughnuts from another producing location.</w:t>
      </w:r>
    </w:p>
    <w:p>
      <w:pPr>
        <w:pStyle w:val="TextBody"/>
        <w:bidi w:val="0"/>
        <w:spacing w:lineRule="auto" w:line="288" w:before="0" w:after="0"/>
        <w:ind w:left="0" w:right="0" w:hanging="540"/>
        <w:jc w:val="both"/>
        <w:rPr/>
      </w:pPr>
      <w:r>
        <w:rPr>
          <w:rFonts w:ascii="Times New Roman;serif" w:hAnsi="Times New Roman;serif"/>
          <w:b w:val="false"/>
          <w:color w:val="000000"/>
          <w:sz w:val="13"/>
        </w:rPr>
        <w:t>(3)</w:t>
      </w:r>
      <w:r>
        <w:rPr>
          <w:rFonts w:ascii="Times New Roman;serif" w:hAnsi="Times New Roman;serif"/>
          <w:b w:val="false"/>
          <w:color w:val="000000"/>
          <w:sz w:val="20"/>
        </w:rPr>
        <w:t>The decrease in total Hubs is driven by Hub optimization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Non-GAAP and Operating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evaluates our results of operations using, among other measures, organic revenue growth/(decline), Sales per Hub, Systemwide Sales, adjusted earnings before interest, taxes, depreciation and amortization (“Adjusted EBITDA”), Adjusted Net Income/(Loss), Diluted, and Adjusted EPS as we believe these non-GAAP and operating measures are useful in evaluating our operating performance. Management believes these measures are important indicators of operations because they exclude items that may not be indicative of our core operating results and provide a better baseline for analyzing trends in our underlying business, and they are consistent with how business performance is planned, reported and assessed internally by management and the Company’s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standardized and it may not be possible to compare these financial measures with other companies’ non-GAAP financial measures having the same or similar names, limiting their usefulness as comparative measures. Other companies may calculate similarly titled financial measures differently than we do or may not calculate them at all. Additionally, these non-GAAP financial measures are not measurements of financial performance under GAAP or a substitute for results reported under GAAP. In order to facilitate a clear understanding of our consolidated historical operating results, we urge you to review our non-GAAP financial measures in conjunction with the Company’s financial statements and not to rely on any single financial measure.    </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Organic Revenue Growth/(Decline)</w:t>
      </w:r>
    </w:p>
    <w:p>
      <w:pPr>
        <w:pStyle w:val="TextBody"/>
        <w:bidi w:val="0"/>
        <w:spacing w:lineRule="auto" w:line="288" w:before="120" w:after="283"/>
        <w:jc w:val="both"/>
        <w:rPr/>
      </w:pPr>
      <w:r>
        <w:rPr>
          <w:rFonts w:ascii="Times New Roman;serif" w:hAnsi="Times New Roman;serif"/>
          <w:b w:val="false"/>
          <w:color w:val="000000"/>
          <w:sz w:val="20"/>
        </w:rPr>
        <w:t>Organic revenue growth/(decline) measures our revenue growth trends excluding the impact of acquisitions, divestitures, and foreign currency, and we believe it is useful for investors to understand the expansion of our global footprint through internal efforts. We define “organic revenue growth/(decline)” as the growth/(decline) in revenues, excluding (i) the impact of revenues of acquired shops owned by us for less than 12 months following their acquisition, (ii) the impact of foreign currency exchange rate changes, (iii) the impact of shop closures related to restructuring programs, (iv) the impact of the divestiture of shops through refranchising, and (v) the impact of revenues generated during the 53</w:t>
      </w:r>
      <w:r>
        <w:rPr>
          <w:rFonts w:ascii="Times New Roman;serif" w:hAnsi="Times New Roman;serif"/>
          <w:b w:val="false"/>
          <w:color w:val="000000"/>
          <w:sz w:val="13"/>
        </w:rPr>
        <w:t xml:space="preserve">rd </w:t>
      </w:r>
      <w:r>
        <w:rPr>
          <w:rFonts w:ascii="Times New Roman;serif" w:hAnsi="Times New Roman;serif"/>
          <w:b w:val="false"/>
          <w:color w:val="000000"/>
          <w:sz w:val="20"/>
        </w:rPr>
        <w:t>week for those fiscal years that have a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 xml:space="preserve">week based on our fiscal calendar defined in </w:t>
      </w:r>
      <w:hyperlink w:anchor="i6781294ebfbd46738ac2f0e45c372155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Description of Business and Summary of Significant Accounting Policies, to the Condensed Consolidated Financial Statements. See “Results of Operations” for our organic growth/(decline) calculations for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Adjusted EBITDA, Adjusted Net Income/(Loss), Diluted, and Adjusted EPS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net, income tax expense, and depreciation and amortization, with further adjustments for share-based compensation, certain strategic initiatives, acquisition and integration expenses, and certain other non-recurring, infrequent, or non-core income and expense items. Adjusted EBITDA, both on a consolidated and at the segment level, is a principal metric that management uses to monitor and evaluate operating performance and provides a consistent benchmark for comparison across reporting periods. “Adjusted EBITDA margin” reflects Adjusted EBITDA as a percentage of net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Net Loss, Diluted” as net loss attributable to common shareholders, adjusted for interest expense, share-based compensation, certain strategic initiatives, acquisition and integration expenses, amortization of acquisition-related intangibles, the tax impact of adjustments, and certain other non-recurring, infrequent, or non-core income and expense items. “Adjusted EPS” is Adjusted Net Loss, Diluted converted to a per share amount.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Adjusted EBITDA, Adjusted Net Loss, Diluted, and Adjusted EPS have certain limitations, including adjustments for income and expense items that are required by GAAP. In evaluating these non-GAAP measures, you should be aware that in the future we will incur expenses that are the same as or similar to some of the adjustments in this presentation, such as share-based compensation. Our presentation of these non-GAAP measures should not be construed to imply that our future results will be unaffected by any such adjustments. Management compensates for these limitations by relying on our GAAP results in addition to using these non-GAAP measures supplementally.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reconciliation of net loss to Adjusted EBITDA, and net loss to Adjusted Net Loss, Diluted and Adjusted EPS for the periods presented:</w:t>
      </w:r>
    </w:p>
    <w:tbl>
      <w:tblPr>
        <w:tblW w:w="10205" w:type="dxa"/>
        <w:jc w:val="left"/>
        <w:tblInd w:w="0" w:type="dxa"/>
        <w:tblLayout w:type="fixed"/>
        <w:tblCellMar>
          <w:top w:w="28" w:type="dxa"/>
          <w:left w:w="28" w:type="dxa"/>
          <w:bottom w:w="28" w:type="dxa"/>
          <w:right w:w="28" w:type="dxa"/>
        </w:tblCellMar>
      </w:tblPr>
      <w:tblGrid>
        <w:gridCol w:w="1675"/>
        <w:gridCol w:w="1421"/>
        <w:gridCol w:w="1424"/>
        <w:gridCol w:w="211"/>
        <w:gridCol w:w="794"/>
        <w:gridCol w:w="109"/>
        <w:gridCol w:w="109"/>
        <w:gridCol w:w="109"/>
        <w:gridCol w:w="109"/>
        <w:gridCol w:w="211"/>
        <w:gridCol w:w="893"/>
        <w:gridCol w:w="109"/>
        <w:gridCol w:w="109"/>
        <w:gridCol w:w="109"/>
        <w:gridCol w:w="109"/>
        <w:gridCol w:w="211"/>
        <w:gridCol w:w="794"/>
        <w:gridCol w:w="109"/>
        <w:gridCol w:w="109"/>
        <w:gridCol w:w="109"/>
        <w:gridCol w:w="109"/>
        <w:gridCol w:w="211"/>
        <w:gridCol w:w="893"/>
        <w:gridCol w:w="159"/>
      </w:tblGrid>
      <w:tr>
        <w:trPr/>
        <w:tc>
          <w:tcPr>
            <w:tcW w:w="167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32,892</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355,958</w:t>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Other non-operating income, net</w:t>
            </w:r>
            <w:r>
              <w:rPr>
                <w:rFonts w:ascii="Times New Roman;serif" w:hAnsi="Times New Roman;serif"/>
                <w:b w:val="false"/>
                <w:color w:val="000000"/>
                <w:sz w:val="10"/>
              </w:rPr>
              <w:t>(1)</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Strategic initiatives</w:t>
            </w:r>
            <w:r>
              <w:rPr>
                <w:rFonts w:ascii="Times New Roman;serif" w:hAnsi="Times New Roman;serif"/>
                <w:b w:val="false"/>
                <w:color w:val="000000"/>
                <w:sz w:val="10"/>
              </w:rPr>
              <w:t>(2)</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25,220</w:t>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Acquisition and integration expenses</w:t>
            </w:r>
            <w:r>
              <w:rPr>
                <w:rFonts w:ascii="Times New Roman;serif" w:hAnsi="Times New Roman;serif"/>
                <w:b w:val="false"/>
                <w:color w:val="000000"/>
                <w:sz w:val="10"/>
              </w:rPr>
              <w:t>(3)</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New market penetration expenses</w:t>
            </w:r>
            <w:r>
              <w:rPr>
                <w:rFonts w:ascii="Times New Roman;serif" w:hAnsi="Times New Roman;serif"/>
                <w:b w:val="false"/>
                <w:color w:val="000000"/>
                <w:sz w:val="10"/>
              </w:rPr>
              <w:t>(4)</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Shop closure expenses, net</w:t>
            </w:r>
            <w:r>
              <w:rPr>
                <w:rFonts w:ascii="Times New Roman;serif" w:hAnsi="Times New Roman;serif"/>
                <w:b w:val="false"/>
                <w:color w:val="000000"/>
                <w:sz w:val="10"/>
              </w:rPr>
              <w:t>(5)</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35,995</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severance expenses</w:t>
            </w:r>
            <w:r>
              <w:rPr>
                <w:rFonts w:ascii="Times New Roman;serif" w:hAnsi="Times New Roman;serif"/>
                <w:b w:val="false"/>
                <w:color w:val="000000"/>
                <w:sz w:val="10"/>
              </w:rPr>
              <w:t>(6)</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4,947</w:t>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refranchising</w:t>
            </w:r>
            <w:r>
              <w:rPr>
                <w:rFonts w:ascii="Times New Roman;serif" w:hAnsi="Times New Roman;serif"/>
                <w:b w:val="false"/>
                <w:color w:val="000000"/>
                <w:sz w:val="10"/>
              </w:rPr>
              <w:t>(7)</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0"/>
              </w:rPr>
              <w:t>(8)</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 related intangibles</w:t>
            </w:r>
            <w:r>
              <w:rPr>
                <w:rFonts w:ascii="Times New Roman;serif" w:hAnsi="Times New Roman;serif"/>
                <w:b w:val="false"/>
                <w:color w:val="000000"/>
                <w:sz w:val="10"/>
              </w:rPr>
              <w:t>(9)</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Adjusted EBIT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(10,101)</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and amortization of right of use assets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28,806</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44,091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29"/>
        <w:gridCol w:w="1390"/>
        <w:gridCol w:w="1401"/>
        <w:gridCol w:w="211"/>
        <w:gridCol w:w="768"/>
        <w:gridCol w:w="109"/>
        <w:gridCol w:w="109"/>
        <w:gridCol w:w="109"/>
        <w:gridCol w:w="109"/>
        <w:gridCol w:w="211"/>
        <w:gridCol w:w="869"/>
        <w:gridCol w:w="109"/>
        <w:gridCol w:w="109"/>
        <w:gridCol w:w="109"/>
        <w:gridCol w:w="109"/>
        <w:gridCol w:w="211"/>
        <w:gridCol w:w="768"/>
        <w:gridCol w:w="109"/>
        <w:gridCol w:w="109"/>
        <w:gridCol w:w="109"/>
        <w:gridCol w:w="109"/>
        <w:gridCol w:w="211"/>
        <w:gridCol w:w="869"/>
        <w:gridCol w:w="159"/>
      </w:tblGrid>
      <w:tr>
        <w:trPr/>
        <w:tc>
          <w:tcPr>
            <w:tcW w:w="182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Two Quarters Ended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amounts)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payroll taxes related to share-based compensation</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Other non-operating income, net</w:t>
            </w:r>
            <w:r>
              <w:rPr>
                <w:color w:val="000000"/>
              </w:rPr>
              <w:t xml:space="preserve"> </w:t>
            </w:r>
            <w:r>
              <w:rPr>
                <w:rFonts w:ascii="Times New Roman;serif" w:hAnsi="Times New Roman;serif"/>
                <w:b w:val="false"/>
                <w:color w:val="000000"/>
                <w:sz w:val="10"/>
              </w:rPr>
              <w:t>(1)</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Strategic initiatives</w:t>
            </w:r>
            <w:r>
              <w:rPr>
                <w:color w:val="000000"/>
              </w:rPr>
              <w:t xml:space="preserve"> </w:t>
            </w:r>
            <w:r>
              <w:rPr>
                <w:rFonts w:ascii="Times New Roman;serif" w:hAnsi="Times New Roman;serif"/>
                <w:b w:val="false"/>
                <w:color w:val="000000"/>
                <w:sz w:val="10"/>
              </w:rPr>
              <w:t>(2)</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Acquisition and integration expenses</w:t>
            </w:r>
            <w:r>
              <w:rPr>
                <w:color w:val="000000"/>
              </w:rPr>
              <w:t xml:space="preserve"> </w:t>
            </w:r>
            <w:r>
              <w:rPr>
                <w:rFonts w:ascii="Times New Roman;serif" w:hAnsi="Times New Roman;serif"/>
                <w:b w:val="false"/>
                <w:color w:val="000000"/>
                <w:sz w:val="10"/>
              </w:rPr>
              <w:t>(3)</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New market penetration expenses</w:t>
            </w:r>
            <w:r>
              <w:rPr>
                <w:color w:val="000000"/>
              </w:rPr>
              <w:t xml:space="preserve"> </w:t>
            </w:r>
            <w:r>
              <w:rPr>
                <w:rFonts w:ascii="Times New Roman;serif" w:hAnsi="Times New Roman;serif"/>
                <w:b w:val="false"/>
                <w:color w:val="000000"/>
                <w:sz w:val="10"/>
              </w:rPr>
              <w:t>(4)</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Shop closure expenses, net </w:t>
            </w:r>
            <w:r>
              <w:rPr>
                <w:rFonts w:ascii="Times New Roman;serif" w:hAnsi="Times New Roman;serif"/>
                <w:b w:val="false"/>
                <w:color w:val="000000"/>
                <w:sz w:val="10"/>
              </w:rPr>
              <w:t>(5)</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severance expenses</w:t>
            </w:r>
            <w:r>
              <w:rPr>
                <w:color w:val="000000"/>
              </w:rPr>
              <w:t xml:space="preserve"> </w:t>
            </w:r>
            <w:r>
              <w:rPr>
                <w:rFonts w:ascii="Times New Roman;serif" w:hAnsi="Times New Roman;serif"/>
                <w:b w:val="false"/>
                <w:color w:val="000000"/>
                <w:sz w:val="10"/>
              </w:rPr>
              <w:t>(6)</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sale-leaseback</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Gain on refranchising </w:t>
            </w:r>
            <w:r>
              <w:rPr>
                <w:rFonts w:ascii="Times New Roman;serif" w:hAnsi="Times New Roman;serif"/>
                <w:b w:val="false"/>
                <w:color w:val="000000"/>
                <w:sz w:val="10"/>
              </w:rPr>
              <w:t>(7)</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0"/>
              </w:rPr>
              <w:t>(8)</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Amortization of acquisition related intangibles </w:t>
            </w:r>
            <w:r>
              <w:rPr>
                <w:rFonts w:ascii="Times New Roman;serif" w:hAnsi="Times New Roman;serif"/>
                <w:b w:val="false"/>
                <w:color w:val="000000"/>
                <w:sz w:val="10"/>
              </w:rPr>
              <w:t>(9)</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impact of adjustments </w:t>
            </w:r>
            <w:r>
              <w:rPr>
                <w:rFonts w:ascii="Times New Roman;serif" w:hAnsi="Times New Roman;serif"/>
                <w:b w:val="false"/>
                <w:color w:val="000000"/>
                <w:sz w:val="10"/>
              </w:rPr>
              <w:t>(10)</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specific adjustments </w:t>
            </w:r>
            <w:r>
              <w:rPr>
                <w:rFonts w:ascii="Times New Roman;serif" w:hAnsi="Times New Roman;serif"/>
                <w:b w:val="false"/>
                <w:color w:val="000000"/>
                <w:sz w:val="10"/>
              </w:rPr>
              <w:t>(11)</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loss/(income) attributable to noncontrolling interest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Adjusted net loss attributable to common shareholders -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income attributed to noncontrolling interest due to subsidiary potential common shares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net loss attributable to common shareholders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common stock options, RSUs, and PSUs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common shares outstanding</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172,578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170,546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net loss per share attributable to common shareholders: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foreign translation gains and losses in each period. The quarter and two quarters ended June 29, 2025 also consists of equity method income from Insomnia Cookies following the divestiture of a controlling interest in Insomnia Cookies during fiscal 2024 until the sale of our remaining interest in the second quarter of fiscal 2025.</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quarter and two quarters ended June 28, 2026 consists primarily of $2.1 million and $6.3 million, respectively, of costs associated with the evaluation and execution of refranchising certain equity markets as well as $1.3 million and $4.2 million, respectively, in costs associated with the transition to third party logistics in the U.S.; of that amount $1.7 million and $3.3 million, respectively, is related to non-cash impairments. The quarter and two quarters ended June 29, 2025 consists primarily of $20.9 million and $23.3 million, respectively, of costs associated with preparing for and executing the U.S. national expansion (including McDonald’s).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Consists of acquisition and integration-related costs in connection with the Company’s business and franchise acquisitions, including legal, due diligence, and advisory fees incurred in connection with acquisition and integration-related activities for the applicable period.</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Consists of start-up costs associated with entry into new countries in which the Company’s brands had not previously operated, including Brazil and Spain.</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lease termination costs, impairment charges, and loss on disposal of property, plant and equipment. </w:t>
      </w:r>
    </w:p>
    <w:p>
      <w:pPr>
        <w:pStyle w:val="TextBody"/>
        <w:bidi w:val="0"/>
        <w:spacing w:lineRule="auto" w:line="288" w:before="0" w:after="0"/>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The quarter and two quarters ended June 28, 2026 consist primarily of costs associated with restructuring the Australia and New Zealand business. The quarter and two quarters ended June 29, 2025 consist primarily of costs associated with restructuring of the U.S. and U.K.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13"/>
        </w:rPr>
        <w:t>(7)</w:t>
      </w:r>
      <w:r>
        <w:rPr>
          <w:rFonts w:ascii="Times New Roman;serif" w:hAnsi="Times New Roman;serif"/>
          <w:b w:val="false"/>
          <w:color w:val="000000"/>
          <w:sz w:val="20"/>
        </w:rPr>
        <w:t>Includes gains and losses on the deconsolidation of assets and liabilities associated with the refranchising of Krispy Kreme shops.</w:t>
      </w:r>
    </w:p>
    <w:p>
      <w:pPr>
        <w:pStyle w:val="TextBody"/>
        <w:bidi w:val="0"/>
        <w:spacing w:lineRule="auto" w:line="288" w:before="0" w:after="0"/>
        <w:ind w:left="0" w:right="0" w:hanging="360"/>
        <w:jc w:val="both"/>
        <w:rPr/>
      </w:pPr>
      <w:r>
        <w:rPr>
          <w:rFonts w:ascii="Times New Roman;serif" w:hAnsi="Times New Roman;serif"/>
          <w:b w:val="false"/>
          <w:color w:val="000000"/>
          <w:sz w:val="13"/>
        </w:rPr>
        <w:t>(8)</w:t>
      </w:r>
      <w:r>
        <w:rPr>
          <w:rFonts w:ascii="Times New Roman;serif" w:hAnsi="Times New Roman;serif"/>
          <w:b w:val="false"/>
          <w:color w:val="000000"/>
          <w:sz w:val="20"/>
        </w:rPr>
        <w:t xml:space="preserve">The quarter and two quarters ended June 28, 2026 consists primarily of $0.8 million and $1.6 million, respectively, of legal fees primarily related to shareholder derivative litigation. Refer to </w:t>
      </w:r>
      <w:hyperlink w:anchor="i6781294ebfbd46738ac2f0e45c372155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to the Condensed Consolidated Financial Statements for more information on the Company’s pending litigation. The quarter and two quarters ended June 29, 2025 consists primarily of $0.9 million and $5.3 million, respectively, in costs related to remediation of the 2024 Cybersecurity Incident, including fees for cybersecurity experts and other advisors.</w:t>
      </w:r>
    </w:p>
    <w:p>
      <w:pPr>
        <w:pStyle w:val="TextBody"/>
        <w:bidi w:val="0"/>
        <w:spacing w:lineRule="auto" w:line="288" w:before="0" w:after="0"/>
        <w:ind w:left="0" w:right="0" w:hanging="360"/>
        <w:jc w:val="both"/>
        <w:rPr/>
      </w:pPr>
      <w:r>
        <w:rPr>
          <w:rFonts w:ascii="Times New Roman;serif" w:hAnsi="Times New Roman;serif"/>
          <w:b w:val="false"/>
          <w:color w:val="000000"/>
          <w:sz w:val="13"/>
        </w:rPr>
        <w:t>(9)</w:t>
      </w:r>
      <w:r>
        <w:rPr>
          <w:rFonts w:ascii="Times New Roman;serif" w:hAnsi="Times New Roman;serif"/>
          <w:b w:val="false"/>
          <w:color w:val="000000"/>
          <w:sz w:val="20"/>
        </w:rPr>
        <w:t>Consists of amortization related to acquired intangible assets as reflected within depreciation and amortization in the Condensed Consolidated Statements of Operations.</w:t>
      </w:r>
    </w:p>
    <w:p>
      <w:pPr>
        <w:pStyle w:val="TextBody"/>
        <w:bidi w:val="0"/>
        <w:spacing w:lineRule="auto" w:line="288" w:before="0" w:after="0"/>
        <w:ind w:left="0" w:right="0" w:hanging="360"/>
        <w:jc w:val="both"/>
        <w:rPr/>
      </w:pPr>
      <w:r>
        <w:rPr>
          <w:rFonts w:ascii="Times New Roman;serif" w:hAnsi="Times New Roman;serif"/>
          <w:b w:val="false"/>
          <w:color w:val="000000"/>
          <w:sz w:val="13"/>
        </w:rPr>
        <w:t>(10)</w:t>
      </w:r>
      <w:r>
        <w:rPr>
          <w:rFonts w:ascii="Times New Roman;serif" w:hAnsi="Times New Roman;serif"/>
          <w:b w:val="false"/>
          <w:color w:val="000000"/>
          <w:sz w:val="20"/>
        </w:rPr>
        <w:t>Tax impact of adjustments calculated applying the applicable statutory rates. The quarter and two quarters ended June 28, 2026 and June 29, 2025 also include the impact of disallowed executive compensation expense. The Company’s adjusted effective tax rate is 17.7% and 4.4% for the quarters ended June 28, 2026 and June 29,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3"/>
        </w:rPr>
        <w:t>(11)</w:t>
      </w:r>
      <w:r>
        <w:rPr>
          <w:rFonts w:ascii="Times New Roman;serif" w:hAnsi="Times New Roman;serif"/>
          <w:b w:val="false"/>
          <w:color w:val="000000"/>
          <w:sz w:val="20"/>
        </w:rPr>
        <w:t>Consists of the recognition of previously unrecognized tax benefits unrelated to ongoing operations of $0.1 million and $0.8 million for the quarter and two quarters ended June 28,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Sales Per Hub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measure the effectiveness of our Hub and Spoke model, we use “Sales per Hub” on a trailing four-quarter basis, which includes all revenue generated from a Hub and its associated Spokes. Sales per Hub equals Fresh Revenues from Hubs with Spokes, divided by the average number of Hubs with Spokes for the period. Fresh Revenues include product sales generated from our Doughnut Shop business (including digital channels), as well as fresh delivery sales, but exclude all Insomnia Cookies revenues as the measure is focused on the Krispy Kreme business. The average number of Hubs with Spokes for a period is calculated as the average of the number of Hubs with Spokes at the end of the five most recent quarters. The Sales per Hub performance measure allows us and investors to measure our effectiveness at leveraging the Hubs in the Hub and Spoke model to distribute product and generate cost efficiencies and profitability.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per Hub was as follows for each of the periods below:</w:t>
      </w:r>
    </w:p>
    <w:tbl>
      <w:tblPr>
        <w:tblW w:w="10205" w:type="dxa"/>
        <w:jc w:val="left"/>
        <w:tblInd w:w="0" w:type="dxa"/>
        <w:tblLayout w:type="fixed"/>
        <w:tblCellMar>
          <w:top w:w="28" w:type="dxa"/>
          <w:left w:w="28" w:type="dxa"/>
          <w:bottom w:w="28" w:type="dxa"/>
          <w:right w:w="28" w:type="dxa"/>
        </w:tblCellMar>
      </w:tblPr>
      <w:tblGrid>
        <w:gridCol w:w="1817"/>
        <w:gridCol w:w="1550"/>
        <w:gridCol w:w="1562"/>
        <w:gridCol w:w="385"/>
        <w:gridCol w:w="1535"/>
        <w:gridCol w:w="198"/>
        <w:gridCol w:w="109"/>
        <w:gridCol w:w="109"/>
        <w:gridCol w:w="109"/>
        <w:gridCol w:w="211"/>
        <w:gridCol w:w="841"/>
        <w:gridCol w:w="109"/>
        <w:gridCol w:w="109"/>
        <w:gridCol w:w="109"/>
        <w:gridCol w:w="109"/>
        <w:gridCol w:w="211"/>
        <w:gridCol w:w="976"/>
        <w:gridCol w:w="156"/>
      </w:tblGrid>
      <w:tr>
        <w:trPr/>
        <w:tc>
          <w:tcPr>
            <w:tcW w:w="181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Trailing Four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4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unless otherwise stated)</w:t>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29,</w:t>
              <w:br/>
              <w:t>2024</w:t>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w:t>
            </w:r>
          </w:p>
        </w:tc>
        <w:tc>
          <w:tcPr>
            <w:tcW w:w="2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Non-Fresh Revenues </w:t>
            </w:r>
            <w:r>
              <w:rPr>
                <w:rFonts w:ascii="Times New Roman;serif" w:hAnsi="Times New Roman;serif"/>
                <w:b w:val="false"/>
                <w:color w:val="000000"/>
                <w:sz w:val="10"/>
              </w:rPr>
              <w:t>(1)</w:t>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Fresh Revenues from Insomnia Cookies and Hubs without Spokes </w:t>
            </w:r>
            <w:r>
              <w:rPr>
                <w:rFonts w:ascii="Times New Roman;serif" w:hAnsi="Times New Roman;serif"/>
                <w:b w:val="false"/>
                <w:color w:val="000000"/>
                <w:sz w:val="10"/>
              </w:rPr>
              <w:t>(2)</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Fresh Revenues from Hubs with Spokes </w:t>
            </w:r>
          </w:p>
        </w:tc>
        <w:tc>
          <w:tcPr>
            <w:tcW w:w="1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698,254</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747,910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Sales per Hub (millions) </w:t>
            </w:r>
            <w:r>
              <w:rPr>
                <w:rFonts w:ascii="Times New Roman;serif" w:hAnsi="Times New Roman;serif"/>
                <w:b/>
                <w:color w:val="000000"/>
                <w:sz w:val="10"/>
              </w:rPr>
              <w:t>(3)</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International:</w:t>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Fresh Revenues from Hubs with Spokes </w:t>
            </w:r>
            <w:r>
              <w:rPr>
                <w:rFonts w:ascii="Times New Roman;serif" w:hAnsi="Times New Roman;serif"/>
                <w:b/>
                <w:color w:val="000000"/>
                <w:sz w:val="10"/>
              </w:rPr>
              <w:t>(4)</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525,301</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519,102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Sales per Hub (millions) </w:t>
            </w:r>
            <w:r>
              <w:rPr>
                <w:rFonts w:ascii="Times New Roman;serif" w:hAnsi="Times New Roman;serif"/>
                <w:b/>
                <w:color w:val="000000"/>
                <w:sz w:val="10"/>
              </w:rPr>
              <w:t>(5)</w:t>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licensing royalties from customers for use of the Krispy Kreme brand.</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Insomnia Cookies revenues (through the date of deconsolidation of July 14, 2024) and Fresh Revenues generated by Hubs without Spokes.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Includes operations of the joint venture in the western U.S. through the date of deconsolidation of March 23, 2026.</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Total International net revenues is equal to Fresh Revenues from Hubs with Spokes for that business segment.</w:t>
      </w:r>
    </w:p>
    <w:p>
      <w:pPr>
        <w:pStyle w:val="TextBody"/>
        <w:bidi w:val="0"/>
        <w:spacing w:lineRule="auto" w:line="288" w:before="0" w:after="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International Sales per Hub comparative data has been restated in constant currency based on current exchange rates and includes operations in Japan through the date of deconsolidation of March 2,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our International segment, where the Hub and Spoke model originated, we had Sales per Hub of $9.5 million during the trailing four quarters ended June 28, 2026, largely consistent with the $9.7 million generated in the full fiscal year 2025 and the $9.9 million generated in the full fiscal year 2024. The International segment illustrates the benefits of leveraging our Hub and Spoke model as the most efficient way to grow the business, as shown by the consistent Sales per Hub and higher Adjusted EBITDA margins despite elevated commodity costs and macroeconomic conditions. In the U.S. segment, we had Sales per Hub of $5.1 million during the trailing four quarters ended June 28, 2026, up from the $4.7 million generated in the full fiscal year 2025 and the $4.9 million generated in the full fiscal year 2024. In the U.S. we continue our efforts to increase the number of quality Spokes served by our Hubs. During fiscal 2025, we identified and exited underperforming Spokes in connection with our turnaround plan. We expect to increase the number of quality Spokes through growth with fresh delivery customers across the U.S. coupled with a continued focus on identifying and addressing underperforming fresh delivery doors.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Systemwide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utilize “Systemwide Sales” as a key performance indicator. Systemwide Sales reflects global sales in U.S. dollars on a nominal basis of all Krispy Kreme products, whether operated by the Company or franchisees, excluding mix, equipment, and royalty revenue. Sales from franchisees are reported to the Company by such franchisees and are not included in Company revenues. The Company believes Systemwide Sales information is important because it is indicative of the health of the Company’s brand and aids in understanding the Company’s financial performance.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quarter and two quarters ended June 28, 2026, we generated Systemwide Sales of $497.3 million and $983.0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 xml:space="preserve">Results of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comparisons are historical results and are not indicative of future results, which could differ materially from the historical financial information presented. </w:t>
      </w:r>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Quarter ended June 28, 2026 compared to the Quarter ended June 29,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unaudited condensed consolidated results of operations for the quarter ended June 28, 2026 and the quarter ended June 29, 2025: </w:t>
      </w:r>
    </w:p>
    <w:tbl>
      <w:tblPr>
        <w:tblW w:w="10205" w:type="dxa"/>
        <w:jc w:val="left"/>
        <w:tblInd w:w="0" w:type="dxa"/>
        <w:tblLayout w:type="fixed"/>
        <w:tblCellMar>
          <w:top w:w="28" w:type="dxa"/>
          <w:left w:w="28" w:type="dxa"/>
          <w:bottom w:w="28" w:type="dxa"/>
          <w:right w:w="28" w:type="dxa"/>
        </w:tblCellMar>
      </w:tblPr>
      <w:tblGrid>
        <w:gridCol w:w="846"/>
        <w:gridCol w:w="447"/>
        <w:gridCol w:w="450"/>
        <w:gridCol w:w="211"/>
        <w:gridCol w:w="826"/>
        <w:gridCol w:w="109"/>
        <w:gridCol w:w="109"/>
        <w:gridCol w:w="109"/>
        <w:gridCol w:w="109"/>
        <w:gridCol w:w="314"/>
        <w:gridCol w:w="317"/>
        <w:gridCol w:w="510"/>
        <w:gridCol w:w="109"/>
        <w:gridCol w:w="109"/>
        <w:gridCol w:w="109"/>
        <w:gridCol w:w="211"/>
        <w:gridCol w:w="848"/>
        <w:gridCol w:w="109"/>
        <w:gridCol w:w="109"/>
        <w:gridCol w:w="109"/>
        <w:gridCol w:w="109"/>
        <w:gridCol w:w="343"/>
        <w:gridCol w:w="348"/>
        <w:gridCol w:w="495"/>
        <w:gridCol w:w="109"/>
        <w:gridCol w:w="109"/>
        <w:gridCol w:w="109"/>
        <w:gridCol w:w="211"/>
        <w:gridCol w:w="841"/>
        <w:gridCol w:w="109"/>
        <w:gridCol w:w="109"/>
        <w:gridCol w:w="109"/>
        <w:gridCol w:w="109"/>
        <w:gridCol w:w="336"/>
        <w:gridCol w:w="340"/>
        <w:gridCol w:w="349"/>
      </w:tblGrid>
      <w:tr>
        <w:trPr/>
        <w:tc>
          <w:tcPr>
            <w:tcW w:w="8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color w:val="000000"/>
              </w:rPr>
            </w:pPr>
            <w:r>
              <w:rPr>
                <w:color w:val="000000"/>
              </w:rPr>
              <w:t> </w:t>
            </w: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7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330,995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w:t>
            </w:r>
            <w:r>
              <w:rPr>
                <w:color w:val="000000"/>
              </w:rPr>
              <w:t> </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379,767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(48,772)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-12.8</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(402,694)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(10,976)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-3.3</w:t>
            </w: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(434,551)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-114.4</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423,575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97.5</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(24,090)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-7.3</w:t>
            </w: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-121.5</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437,481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94.8</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Income tax expense/(benefit)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(19,831)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-6.0</w:t>
            </w:r>
            <w:r>
              <w:rPr>
                <w:color w:val="000000"/>
              </w:rPr>
              <w:t>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-116.2</w:t>
            </w:r>
            <w:r>
              <w:rPr>
                <w:color w:val="000000"/>
              </w:rPr>
              <w:t>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421,287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95.5</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(20,311)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-6.1</w:t>
            </w:r>
            <w:r>
              <w:rPr>
                <w:color w:val="000000"/>
              </w:rPr>
              <w:t>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(435,260)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-114.6</w:t>
            </w:r>
            <w:r>
              <w:rPr>
                <w:color w:val="000000"/>
              </w:rPr>
              <w:t>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414,949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95.3</w:t>
            </w:r>
            <w:r>
              <w:rPr>
                <w:color w:val="000000"/>
              </w:rPr>
              <w:t>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further breakdown of total net revenue and organic revenue growth by segment for the quarter ended June 28, 2026 compared to the quarter ended June 29, 2025: </w:t>
      </w:r>
    </w:p>
    <w:tbl>
      <w:tblPr>
        <w:tblW w:w="10205" w:type="dxa"/>
        <w:jc w:val="left"/>
        <w:tblInd w:w="0" w:type="dxa"/>
        <w:tblLayout w:type="fixed"/>
        <w:tblCellMar>
          <w:top w:w="28" w:type="dxa"/>
          <w:left w:w="28" w:type="dxa"/>
          <w:bottom w:w="28" w:type="dxa"/>
          <w:right w:w="28" w:type="dxa"/>
        </w:tblCellMar>
      </w:tblPr>
      <w:tblGrid>
        <w:gridCol w:w="1448"/>
        <w:gridCol w:w="1237"/>
        <w:gridCol w:w="1246"/>
        <w:gridCol w:w="211"/>
        <w:gridCol w:w="826"/>
        <w:gridCol w:w="301"/>
        <w:gridCol w:w="109"/>
        <w:gridCol w:w="109"/>
        <w:gridCol w:w="109"/>
        <w:gridCol w:w="211"/>
        <w:gridCol w:w="826"/>
        <w:gridCol w:w="301"/>
        <w:gridCol w:w="109"/>
        <w:gridCol w:w="109"/>
        <w:gridCol w:w="109"/>
        <w:gridCol w:w="211"/>
        <w:gridCol w:w="721"/>
        <w:gridCol w:w="301"/>
        <w:gridCol w:w="109"/>
        <w:gridCol w:w="109"/>
        <w:gridCol w:w="109"/>
        <w:gridCol w:w="211"/>
        <w:gridCol w:w="826"/>
        <w:gridCol w:w="347"/>
      </w:tblGrid>
      <w:tr>
        <w:trPr/>
        <w:tc>
          <w:tcPr>
            <w:tcW w:w="144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w:t>
              <w:br/>
              <w:t xml:space="preserve">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br/>
              <w:t xml:space="preserve">Company </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 in second quarter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revenues in second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379,767 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(57,419)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(15,413)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24,060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(48,772)</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(12.8)</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 refranchising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(55,878)</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revenues in second quarter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323,889 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7,106</w:t>
            </w: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(5,964)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(829)</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 %</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left"/>
        <w:rPr/>
      </w:pPr>
      <w:r>
        <w:rPr>
          <w:rFonts w:ascii="Times New Roman;serif" w:hAnsi="Times New Roman;serif"/>
          <w:b w:val="false"/>
          <w:color w:val="000000"/>
          <w:sz w:val="20"/>
        </w:rPr>
        <w:t>Total net revenue declined $48.8 million, or 12.8%, from the second quarter of fiscal 2025 to the second quarter of fiscal 2026, primarily due to the $55.9 million reduction associated with refranchising efforts taken in the U.S. and International segments. The results of refranchised businesses are reported within the U.S. or International segments, as applicable, prior to the respective dates of divestiture, and are reported within the Market Development segment, following the respective dates of divestiture. Organic revenue decreased by 0.3%, primarily driven by a decline in Global Points of Access and in the International segment, partially offset by growth in the Market Development segment. The organic revenue decrease reflects a Global Points of Access decline of 2,448, or 13.5%, primarily impacted by the strategic closure of underperforming fresh delivery doors that was completed in the third quarter of 2025, including those associated with the termination of the Business Relationship Agreement</w:t>
      </w:r>
      <w:r>
        <w:rPr>
          <w:color w:val="000000"/>
        </w:rPr>
        <w:t xml:space="preserve"> </w:t>
      </w:r>
      <w:r>
        <w:rPr>
          <w:rFonts w:ascii="Times New Roman;serif" w:hAnsi="Times New Roman;serif"/>
          <w:b w:val="false"/>
          <w:color w:val="000000"/>
          <w:sz w:val="20"/>
        </w:rPr>
        <w:t>with McDonald’s USA.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U.S. segment net revenue declined $57.4 million, or 25.0%, from the second quarter of fiscal 2025 to the second quarter of fiscal 2026, primarily due to the $57.5 million reduction associated with refranchising of the U.S. business and the strategic closure of underperforming fresh delivery doors. U.S. organic revenue increased by 0.1%, primarily driven by the strategic closure of underperforming fresh delivery doors in the second quarter of fiscal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segment net revenue declined $15.4 million, or 11.6%, from the second quarter of fiscal 2025 to the second quarter of fiscal 2026, due primarily to the impacts of the refranchising of Japan, partially offset by foreign currency translation impacts of $6.9 million. International organic revenue decreased by 5.1%, driven primarily by declines in the U.K. and Australia, partially offset by growth in Canada.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Market Development segment net revenue increased $24.1 million, or 142.3%, from the second quarter of fiscal 2025 to the second quarter of fiscal 2026, primarily due to the $18.0 million benefit from refranchising in the first quarter of fiscal 2026. Market Development organic revenue increased by 14.4%, primarily due to an increase in royalty revenues primarily from the Middle East, Japan, and Brazil.</w:t>
      </w:r>
    </w:p>
    <w:p>
      <w:pPr>
        <w:pStyle w:val="TextBody"/>
        <w:bidi w:val="0"/>
        <w:spacing w:lineRule="auto" w:line="288" w:before="240" w:after="283"/>
        <w:jc w:val="both"/>
        <w:rPr/>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Operating expenses decreased $51.8 million, or 24.6%, from the second quarter of fiscal 2025 to the second quarter of fiscal 2026, driven mainly by refranchising transactions completed in the first quarter of fiscal 2026, coupled with an increase in operational efficiencies. Operating expenses as a percentage of revenue decreased by 750 basis points, from 55.5% in the second quarter of fiscal 2025 to 48.0% in the second quarter of fiscal 2026, primarily due to increased operational efficiencies as we continue to deliver on our turnaround plan.</w:t>
      </w:r>
    </w:p>
    <w:p>
      <w:pPr>
        <w:pStyle w:val="TextBody"/>
        <w:bidi w:val="0"/>
        <w:spacing w:lineRule="auto" w:line="288" w:before="240" w:after="283"/>
        <w:jc w:val="both"/>
        <w:rPr/>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Selling, general and administrative (“SG&amp;A”) expense decreased $9.2 million, or 14.7%, from the second quarter of fiscal 2025 to the second quarter of fiscal 2026, driven mainly by lower employee costs. As a percentage of revenue, SG&amp;A expense remained relatively consistent with the comparable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Goodwill and other asset impairments</w:t>
      </w:r>
      <w:r>
        <w:rPr>
          <w:rFonts w:ascii="Times New Roman;serif" w:hAnsi="Times New Roman;serif"/>
          <w:b w:val="false"/>
          <w:color w:val="000000"/>
          <w:sz w:val="20"/>
        </w:rPr>
        <w:t xml:space="preserve">: Goodwill and other asset impairments decreased $402.7 million, or 99.0%, from the second quarter of fiscal 2025 to the second quarter of fiscal 2026, driven mainly by the $406.9 million non-cash goodwill and other asset impairments charge in the second quarter of fiscal 2025. As a percentage of revenue, goodwill and other asset impairments decreased from 107.2% in the second quarter of fiscal 2025 to 1.3% in the fiscal quarter of 2026. This decrease was offset by other asset impairments of $4.2 million related to long-lived asset impairments incurred in the second quarter of fiscal 2026. </w:t>
      </w:r>
    </w:p>
    <w:p>
      <w:pPr>
        <w:pStyle w:val="TextBody"/>
        <w:bidi w:val="0"/>
        <w:spacing w:lineRule="auto" w:line="288" w:before="240" w:after="283"/>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increased $9.4 million, or 112.5%, from the second quarter of fiscal 2025 to the second quarter of fiscal 2026, primarily driven by gains on sale-leaseback transactions in the second quarter of fiscal 2025. As a percentage of revenue, other income (expense), net increased 250 basis points, from (2.2)% in the second quarter of fiscal 2025 to 0.3% in the second quarter of fiscal 2026.</w:t>
      </w:r>
    </w:p>
    <w:p>
      <w:pPr>
        <w:pStyle w:val="TextBody"/>
        <w:bidi w:val="0"/>
        <w:spacing w:lineRule="auto" w:line="288" w:before="240" w:after="283"/>
        <w:jc w:val="both"/>
        <w:rPr/>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and amortization expense decreased $8.8 million, or 24.5%, from the second quarter of fiscal 2025 to the second quarter of fiscal 2026, primarily driven by lower finance lease amortization expense and fixed asset impairments taken in the second quarter of fiscal 2025 following the termination of the Business Relationship Agreement with McDonald’s USA. As a percentage of revenue, Depreciation and amortization expense decreased 120 basis points, from 9.4% in the second quarter of fiscal 2025 to 8.2% in the second quarter of fiscal 2026.</w:t>
      </w:r>
    </w:p>
    <w:p>
      <w:pPr>
        <w:pStyle w:val="TextBody"/>
        <w:bidi w:val="0"/>
        <w:spacing w:lineRule="auto" w:line="288" w:before="240" w:after="283"/>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decreased $3.3 million, or 19.9%, from the second quarter of fiscal 2025 to the second quarter of fiscal 2026 primarily driven by a lower average debt balance.</w:t>
      </w:r>
    </w:p>
    <w:p>
      <w:pPr>
        <w:pStyle w:val="TextBody"/>
        <w:bidi w:val="0"/>
        <w:spacing w:lineRule="auto" w:line="288" w:before="240" w:after="283"/>
        <w:jc w:val="both"/>
        <w:rPr/>
      </w:pPr>
      <w:r>
        <w:rPr>
          <w:rFonts w:ascii="Times New Roman;serif" w:hAnsi="Times New Roman;serif"/>
          <w:b w:val="false"/>
          <w:i/>
          <w:color w:val="000000"/>
          <w:sz w:val="20"/>
        </w:rPr>
        <w:t>Loss on divestiture of Insomnia Cookies:</w:t>
      </w:r>
      <w:r>
        <w:rPr>
          <w:color w:val="000000"/>
        </w:rPr>
        <w:t xml:space="preserve"> </w:t>
      </w:r>
      <w:r>
        <w:rPr>
          <w:rFonts w:ascii="Times New Roman;serif" w:hAnsi="Times New Roman;serif"/>
          <w:b w:val="false"/>
          <w:color w:val="000000"/>
          <w:sz w:val="20"/>
        </w:rPr>
        <w:t>In the second quarter of fiscal 2025, we sold the remainder of our ownership interest in Insomnia Cookies for cash proceeds and recognized a loss on divestiture of $11.5 million (gross of income taxes) with no comparable activity in the second quarter of fiscal 2026.</w:t>
      </w:r>
    </w:p>
    <w:p>
      <w:pPr>
        <w:pStyle w:val="TextBody"/>
        <w:bidi w:val="0"/>
        <w:spacing w:lineRule="auto" w:line="288" w:before="240" w:after="283"/>
        <w:jc w:val="both"/>
        <w:rPr/>
      </w:pPr>
      <w:r>
        <w:rPr>
          <w:rFonts w:ascii="Times New Roman;serif" w:hAnsi="Times New Roman;serif"/>
          <w:b w:val="false"/>
          <w:i/>
          <w:color w:val="000000"/>
          <w:sz w:val="20"/>
          <w:shd w:fill="FFFFFF" w:val="clear"/>
        </w:rPr>
        <w:t>Income tax (benefit)/expense:</w:t>
      </w:r>
      <w:r>
        <w:rPr>
          <w:color w:val="000000"/>
          <w:shd w:fill="FFFFFF" w:val="clear"/>
        </w:rPr>
        <w:t xml:space="preserve"> </w:t>
      </w:r>
      <w:r>
        <w:rPr>
          <w:rFonts w:ascii="Times New Roman;serif" w:hAnsi="Times New Roman;serif"/>
          <w:b w:val="false"/>
          <w:color w:val="000000"/>
          <w:sz w:val="20"/>
          <w:shd w:fill="FFFFFF" w:val="clear"/>
        </w:rPr>
        <w:t xml:space="preserve">Income tax benefit was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fiscal 2026, while income tax benefit was </w:t>
      </w:r>
      <w:r>
        <w:rPr>
          <w:rFonts w:ascii="Times New Roman;serif" w:hAnsi="Times New Roman;serif"/>
          <w:b w:val="false"/>
          <w:color w:val="000000"/>
          <w:sz w:val="20"/>
        </w:rPr>
        <w:t xml:space="preserve">$20.5 million in the second quarter of fiscal 2025. The variance </w:t>
      </w:r>
      <w:r>
        <w:rPr>
          <w:rFonts w:ascii="Times New Roman;serif" w:hAnsi="Times New Roman;serif"/>
          <w:b w:val="false"/>
          <w:color w:val="000000"/>
          <w:sz w:val="20"/>
          <w:shd w:fill="FFFFFF" w:val="clear"/>
        </w:rPr>
        <w:t xml:space="preserve">was primarily driven by the tax effect of nondeductible goodwill impairment charges 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quarter of fiscal 2025.</w:t>
      </w:r>
    </w:p>
    <w:p>
      <w:pPr>
        <w:pStyle w:val="TextBody"/>
        <w:bidi w:val="0"/>
        <w:spacing w:lineRule="auto" w:line="288" w:before="360" w:after="283"/>
        <w:jc w:val="both"/>
        <w:rPr/>
      </w:pPr>
      <w:r>
        <w:rPr>
          <w:rFonts w:ascii="Times New Roman;serif" w:hAnsi="Times New Roman;serif"/>
          <w:b/>
          <w:i/>
          <w:color w:val="000000"/>
          <w:sz w:val="20"/>
        </w:rPr>
        <w:t>Results of Operations by Segment – Quarter ended June 28, 2026 compared to the Quarter ended June 29, 2025</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Adjusted EBITDA by segment for the periods indicated: </w:t>
      </w:r>
    </w:p>
    <w:tbl>
      <w:tblPr>
        <w:tblW w:w="7676" w:type="dxa"/>
        <w:jc w:val="left"/>
        <w:tblInd w:w="0" w:type="dxa"/>
        <w:tblLayout w:type="fixed"/>
        <w:tblCellMar>
          <w:top w:w="28" w:type="dxa"/>
          <w:left w:w="28" w:type="dxa"/>
          <w:bottom w:w="28" w:type="dxa"/>
          <w:right w:w="28" w:type="dxa"/>
        </w:tblCellMar>
      </w:tblPr>
      <w:tblGrid>
        <w:gridCol w:w="916"/>
        <w:gridCol w:w="806"/>
        <w:gridCol w:w="812"/>
        <w:gridCol w:w="224"/>
        <w:gridCol w:w="784"/>
        <w:gridCol w:w="116"/>
        <w:gridCol w:w="109"/>
        <w:gridCol w:w="109"/>
        <w:gridCol w:w="109"/>
        <w:gridCol w:w="224"/>
        <w:gridCol w:w="784"/>
        <w:gridCol w:w="116"/>
        <w:gridCol w:w="109"/>
        <w:gridCol w:w="109"/>
        <w:gridCol w:w="109"/>
        <w:gridCol w:w="211"/>
        <w:gridCol w:w="631"/>
        <w:gridCol w:w="109"/>
        <w:gridCol w:w="109"/>
        <w:gridCol w:w="109"/>
        <w:gridCol w:w="109"/>
        <w:gridCol w:w="306"/>
        <w:gridCol w:w="310"/>
        <w:gridCol w:w="34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19,386 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4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(18,513)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(16,988)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pPr>
            <w:r>
              <w:rPr>
                <w:rFonts w:ascii="Times New Roman;serif" w:hAnsi="Times New Roman;serif"/>
                <w:b/>
                <w:color w:val="000000"/>
                <w:sz w:val="20"/>
              </w:rPr>
              <w:t xml:space="preserve">Total Adjusted EBITDA </w:t>
            </w:r>
            <w:r>
              <w:rPr>
                <w:rFonts w:ascii="Times New Roman;serif" w:hAnsi="Times New Roman;serif"/>
                <w:b/>
                <w:color w:val="000000"/>
                <w:sz w:val="10"/>
              </w:rPr>
              <w:t>(1)</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28,807</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20,111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8,696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43.2</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Refer to “</w:t>
      </w:r>
      <w:hyperlink w:anchor="i6781294ebfbd46738ac2f0e45c372155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 xml:space="preserve">above for a reconciliation of Adjusted EBITDA to net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segment Adjusted EBITDA increased $3.8 million, or 38.5%, with margin expansion of 370 basis points to 8.0% in the second quarter of fiscal 2026 compared to the second quarter of fiscal 2025, primarily driven by operational efficiencies, and SG&amp;A savings as we continue to deliver on our turnaround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decreased $4.0 million, or 22.2%, primarily due to refranchising of the Japan business. The margin decline of 160 basis points to 12.1% in the second quarter of fiscal 2026 compared to the second quarter of fiscal 2025 was due to lower Adjusted EBITDA in the U.K. and Australia and the refranchising of Japan.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Development segment Adjusted EBITDA increased $10.4 million, or 116.7%, with margin decline of 560 basis points to 47.3% in the second quarter of fiscal 2026 compared to the second quarter of fiscal 2025, driven mainly by changes in the regional mix of U.S. sales associated with the WKS Refranchising, and to a lesser degree the refranchising of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Two Quarters ended June 28, 2026 compared to the Two Quarters ended June 29,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unaudited condensed consolidated results of operations for the two quarters ended June 28, 2026 and the two quarters ended June 29, 2025: </w:t>
      </w:r>
    </w:p>
    <w:tbl>
      <w:tblPr>
        <w:tblW w:w="10205" w:type="dxa"/>
        <w:jc w:val="left"/>
        <w:tblInd w:w="0" w:type="dxa"/>
        <w:tblLayout w:type="fixed"/>
        <w:tblCellMar>
          <w:top w:w="28" w:type="dxa"/>
          <w:left w:w="28" w:type="dxa"/>
          <w:bottom w:w="28" w:type="dxa"/>
          <w:right w:w="28" w:type="dxa"/>
        </w:tblCellMar>
      </w:tblPr>
      <w:tblGrid>
        <w:gridCol w:w="864"/>
        <w:gridCol w:w="470"/>
        <w:gridCol w:w="473"/>
        <w:gridCol w:w="211"/>
        <w:gridCol w:w="826"/>
        <w:gridCol w:w="109"/>
        <w:gridCol w:w="109"/>
        <w:gridCol w:w="109"/>
        <w:gridCol w:w="109"/>
        <w:gridCol w:w="314"/>
        <w:gridCol w:w="317"/>
        <w:gridCol w:w="500"/>
        <w:gridCol w:w="109"/>
        <w:gridCol w:w="109"/>
        <w:gridCol w:w="109"/>
        <w:gridCol w:w="211"/>
        <w:gridCol w:w="849"/>
        <w:gridCol w:w="109"/>
        <w:gridCol w:w="109"/>
        <w:gridCol w:w="109"/>
        <w:gridCol w:w="109"/>
        <w:gridCol w:w="314"/>
        <w:gridCol w:w="317"/>
        <w:gridCol w:w="500"/>
        <w:gridCol w:w="109"/>
        <w:gridCol w:w="109"/>
        <w:gridCol w:w="109"/>
        <w:gridCol w:w="211"/>
        <w:gridCol w:w="841"/>
        <w:gridCol w:w="109"/>
        <w:gridCol w:w="109"/>
        <w:gridCol w:w="109"/>
        <w:gridCol w:w="109"/>
        <w:gridCol w:w="335"/>
        <w:gridCol w:w="341"/>
        <w:gridCol w:w="349"/>
      </w:tblGrid>
      <w:tr>
        <w:trPr/>
        <w:tc>
          <w:tcPr>
            <w:tcW w:w="8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Royalties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698,029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754,951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100.0</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(56,922)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Product and distribution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Pre-opening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Gain on refranchising,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Operating (loss)/income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(14,601)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-2.1</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(454,820)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-60.2</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440,219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96.8</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Loss on divestiture of Insomnia Cookies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Other non-operating (income)/expense,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-6.2</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(497,643)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-65.9</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454,463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91.3</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(42,504)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-6.1</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(474,523)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-62.9</w:t>
            </w:r>
            <w:r>
              <w:rPr>
                <w:color w:val="000000"/>
              </w:rPr>
              <w:t>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432,019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91.0</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Net (loss)/income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34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hanging="20"/>
              <w:jc w:val="left"/>
              <w:rPr>
                <w:rFonts w:ascii="Times New Roman;serif" w:hAnsi="Times New Roman;serif"/>
                <w:b/>
                <w:color w:val="000000"/>
                <w:sz w:val="20"/>
              </w:rPr>
            </w:pPr>
            <w:r>
              <w:rPr>
                <w:rFonts w:ascii="Times New Roman;serif" w:hAnsi="Times New Roman;serif"/>
                <w:b/>
                <w:color w:val="000000"/>
                <w:sz w:val="20"/>
              </w:rPr>
              <w:t>Net loss attributable to Krispy Kreme,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(43,095)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-6.2</w:t>
            </w:r>
            <w:r>
              <w:rPr>
                <w:color w:val="000000"/>
              </w:rPr>
              <w:t>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(468,544)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-62.1</w:t>
            </w:r>
            <w:r>
              <w:rPr>
                <w:color w:val="000000"/>
              </w:rPr>
              <w:t>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425,449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90.8</w:t>
            </w:r>
            <w:r>
              <w:rPr>
                <w:color w:val="000000"/>
              </w:rPr>
              <w:t>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further breakdown of total net revenue and organic revenue growth by segment for the two quarters ended June 28, 2026 compared to the two quarters ended June 29, 2025:</w:t>
      </w:r>
    </w:p>
    <w:tbl>
      <w:tblPr>
        <w:tblW w:w="10205" w:type="dxa"/>
        <w:jc w:val="left"/>
        <w:tblInd w:w="0" w:type="dxa"/>
        <w:tblLayout w:type="fixed"/>
        <w:tblCellMar>
          <w:top w:w="28" w:type="dxa"/>
          <w:left w:w="28" w:type="dxa"/>
          <w:bottom w:w="28" w:type="dxa"/>
          <w:right w:w="28" w:type="dxa"/>
        </w:tblCellMar>
      </w:tblPr>
      <w:tblGrid>
        <w:gridCol w:w="1454"/>
        <w:gridCol w:w="1234"/>
        <w:gridCol w:w="1242"/>
        <w:gridCol w:w="211"/>
        <w:gridCol w:w="826"/>
        <w:gridCol w:w="301"/>
        <w:gridCol w:w="109"/>
        <w:gridCol w:w="109"/>
        <w:gridCol w:w="109"/>
        <w:gridCol w:w="211"/>
        <w:gridCol w:w="826"/>
        <w:gridCol w:w="301"/>
        <w:gridCol w:w="109"/>
        <w:gridCol w:w="109"/>
        <w:gridCol w:w="109"/>
        <w:gridCol w:w="211"/>
        <w:gridCol w:w="721"/>
        <w:gridCol w:w="301"/>
        <w:gridCol w:w="109"/>
        <w:gridCol w:w="109"/>
        <w:gridCol w:w="109"/>
        <w:gridCol w:w="211"/>
        <w:gridCol w:w="826"/>
        <w:gridCol w:w="348"/>
      </w:tblGrid>
      <w:tr>
        <w:trPr/>
        <w:tc>
          <w:tcPr>
            <w:tcW w:w="145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w:t>
              <w:br/>
              <w:t xml:space="preserve">Development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br/>
              <w:t xml:space="preserve">Company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 in first two quarters of 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394,230 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698,029 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revenues in first two quarters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754,951 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(72,413)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(9,790)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25,281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(56,922)</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Revenues (Decline)/Growth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Impact of refranchising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revenues in first two quarters of fiscal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689,988 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revenue growth/(decline)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(9,027)</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11,904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8,041</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(9,027)</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(5,449)</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(10,354)</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Revenue (Decline)/Growth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7.4</w:t>
            </w: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w:t>
            </w:r>
            <w:r>
              <w:rPr>
                <w:color w:val="000000"/>
              </w:rPr>
              <w:t> </w:t>
            </w:r>
          </w:p>
        </w:tc>
        <w:tc>
          <w:tcPr>
            <w:tcW w:w="3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net revenue declined $56.9 million, or 7.5%, from the first two quarters of fiscal 2025 to the first two quarters of fiscal 2026, primarily due to the $65.0 million reduction associated with refranchising efforts taken in the U.S. and International segments, partially offset by an increase in royalty revenue. Organic revenue declined $10.4 million, or 1.5%, primarily driven by lower Doughnut Shop transaction volume impacted by consumer softness in a challenging macroeconomic environment and by Global Points of Access decline of 2,448, or 13.5%, impacted by the strategic closure of underperforming fresh delivery doors.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U.S. segment net revenue declined $72.4 million, or 15.5%, from the first two quarters of fiscal 2025 to the first two quarters of fiscal 2026, primarily due to the divestiture of a controlling interest in Insomnia Cookies in the third quarter of fiscal 2024. U.S. organic revenue declined $9.0 million, or 2.2%, primarily driven by lower Doughnut Shop transaction volume impacted by consumer softness in a challenging macroeconomic environment. The organic revenue decline was also driven by Points of Access decline of 3,768, or 37.0%, impacted by the strategic closure of underperforming fresh delivery doors.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International segment net revenue declined $9.8 million, or 3.9%, from the first two quarters of fiscal 2025 to the first two quarters of fiscal 2026, driven by the $21.7 million impact of refranchising transactions in fiscal 2026. International organic revenue declined $5.4 million, or 2.4%, driven primarily by adverse foreign currency impacts.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Market Development segment net revenue increased $25.3 million, or 70.4%, from the first two quarters of fiscal 2025 to the first two quarters of fiscal 2026, primarily due to the $20.1 million impact of refranchising transactions in fiscal 2026. Market Development organic revenue increased $4.1 million, or 7.4%, primarily driven by an increase in royalty revenues.</w:t>
      </w:r>
    </w:p>
    <w:p>
      <w:pPr>
        <w:pStyle w:val="TextBody"/>
        <w:bidi w:val="0"/>
        <w:spacing w:lineRule="auto" w:line="288" w:before="240" w:after="283"/>
        <w:jc w:val="both"/>
        <w:rPr/>
      </w:pPr>
      <w:r>
        <w:rPr>
          <w:rFonts w:ascii="Times New Roman;serif" w:hAnsi="Times New Roman;serif"/>
          <w:b w:val="false"/>
          <w:i/>
          <w:color w:val="000000"/>
          <w:sz w:val="20"/>
        </w:rPr>
        <w:t xml:space="preserve">Operating expenses: </w:t>
      </w:r>
      <w:r>
        <w:rPr>
          <w:rFonts w:ascii="Times New Roman;serif" w:hAnsi="Times New Roman;serif"/>
          <w:b w:val="false"/>
          <w:color w:val="000000"/>
          <w:sz w:val="20"/>
        </w:rPr>
        <w:t xml:space="preserve">Operating expenses decreased $62.6 million, or 15.3%, from the first two quarters of fiscal 2025 to the first two quarters of fiscal 2026, driven mainly by refranchising transactions and the decrease resulting from the reduction in costs associated with the transition to third-party logistics. Operating expenses as a percentage of revenue decreased 450 basis points, from 54.2% in the first two quarters of fiscal 2025 to 49.7% in the first two quarters of fiscal 2026, primarily due to operational efficiencies as we continue to deliver on our turnaround plan. </w:t>
      </w:r>
    </w:p>
    <w:p>
      <w:pPr>
        <w:pStyle w:val="TextBody"/>
        <w:bidi w:val="0"/>
        <w:spacing w:lineRule="auto" w:line="288" w:before="240" w:after="283"/>
        <w:jc w:val="both"/>
        <w:rPr/>
      </w:pPr>
      <w:r>
        <w:rPr>
          <w:rFonts w:ascii="Times New Roman;serif" w:hAnsi="Times New Roman;serif"/>
          <w:b w:val="false"/>
          <w:i/>
          <w:color w:val="000000"/>
          <w:sz w:val="20"/>
        </w:rPr>
        <w:t xml:space="preserve">Selling, general and administrative expense: </w:t>
      </w:r>
      <w:r>
        <w:rPr>
          <w:rFonts w:ascii="Times New Roman;serif" w:hAnsi="Times New Roman;serif"/>
          <w:b w:val="false"/>
          <w:color w:val="000000"/>
          <w:sz w:val="20"/>
        </w:rPr>
        <w:t>SG&amp;A expense decreased $10.6 million, or 8.7%, from the first two quarters of fiscal 2025 to the first two quarters of fiscal 2026, driven mainly by a $6.9 million reduction in legal professional fees, coupled with a $3.7 million reduction in employee costs. As a percentage of revenue, SG&amp;A expense remained relatively consistent with the comparable period.</w:t>
      </w:r>
    </w:p>
    <w:p>
      <w:pPr>
        <w:pStyle w:val="TextBody"/>
        <w:bidi w:val="0"/>
        <w:spacing w:lineRule="auto" w:line="288" w:before="240" w:after="283"/>
        <w:jc w:val="both"/>
        <w:rPr/>
      </w:pPr>
      <w:r>
        <w:rPr>
          <w:rFonts w:ascii="Times New Roman;serif" w:hAnsi="Times New Roman;serif"/>
          <w:b w:val="false"/>
          <w:i/>
          <w:color w:val="000000"/>
          <w:sz w:val="20"/>
        </w:rPr>
        <w:t>Goodwill and other asset impairments:</w:t>
      </w:r>
      <w:r>
        <w:rPr>
          <w:color w:val="000000"/>
        </w:rPr>
        <w:t xml:space="preserve"> </w:t>
      </w:r>
      <w:r>
        <w:rPr>
          <w:rFonts w:ascii="Times New Roman;serif" w:hAnsi="Times New Roman;serif"/>
          <w:b w:val="false"/>
          <w:color w:val="000000"/>
          <w:sz w:val="20"/>
        </w:rPr>
        <w:t>Goodwill and other asset impairments of $6.1 million consists primarily of truck impairments resulting from the transition to third-party logistics. As a percentage of revenue, Goodwill and other asset impairments decreased 5,300 basis points, from 53.9% in the first two quarters of fiscal 2025 to 0.9% in the first two quarters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rPr>
        <w:t>Gain on refranchising, net</w:t>
      </w:r>
      <w:r>
        <w:rPr>
          <w:rFonts w:ascii="Times New Roman;serif" w:hAnsi="Times New Roman;serif"/>
          <w:b w:val="false"/>
          <w:color w:val="000000"/>
          <w:sz w:val="20"/>
        </w:rPr>
        <w:t xml:space="preserve">: In the first quarter of fiscal 2026, the Company completed two refranchising transactions, one each impacting the U.S. and International business segments resulting in a net gain of $8.9 million. Refer to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Acquisitions and Divestitures, to the Condensed Consolidated Financial Statements for further information.</w:t>
      </w:r>
    </w:p>
    <w:p>
      <w:pPr>
        <w:pStyle w:val="TextBody"/>
        <w:bidi w:val="0"/>
        <w:spacing w:lineRule="auto" w:line="288" w:before="240" w:after="283"/>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of $1.8 million in the first two quarters of fiscal 2026 was primarily related to miscellaneous corporate expenses. Other income (expense), net of $7.1 million in the first two quarters of fiscal 2025 was driven by gains on sale-leaseback transactions. As a percentage of revenue, other income (expense), net remained consistent with the comparable period.</w:t>
      </w:r>
    </w:p>
    <w:p>
      <w:pPr>
        <w:pStyle w:val="TextBody"/>
        <w:bidi w:val="0"/>
        <w:spacing w:lineRule="auto" w:line="288" w:before="240" w:after="283"/>
        <w:jc w:val="both"/>
        <w:rPr/>
      </w:pPr>
      <w:r>
        <w:rPr>
          <w:rFonts w:ascii="Times New Roman;serif" w:hAnsi="Times New Roman;serif"/>
          <w:b w:val="false"/>
          <w:i/>
          <w:color w:val="000000"/>
          <w:sz w:val="20"/>
        </w:rPr>
        <w:t xml:space="preserve">Depreciation and amortization expense: </w:t>
      </w:r>
      <w:r>
        <w:rPr>
          <w:rFonts w:ascii="Times New Roman;serif" w:hAnsi="Times New Roman;serif"/>
          <w:b w:val="false"/>
          <w:color w:val="000000"/>
          <w:sz w:val="20"/>
        </w:rPr>
        <w:t>Depreciation and amortization expense decreased $10.6 million, or 15.2%, from the first two quarters of fiscal 2025 to the first two quarters of fiscal 2026. As a percentage of revenue, Depreciation and amortization expense decreased 70 basis points, from 9.2% in the first two quarters of fiscal 2025 to 8.5% in the first two quarters of fiscal 2026, primarily driven by lower finance lease amortization expense and fixed asset impairments taken in the second quarter of fiscal 2025 following the termination of the Business Relationship Agreement with McDonald’s USA.</w:t>
      </w:r>
    </w:p>
    <w:p>
      <w:pPr>
        <w:pStyle w:val="TextBody"/>
        <w:bidi w:val="0"/>
        <w:spacing w:lineRule="auto" w:line="288" w:before="240" w:after="283"/>
        <w:jc w:val="both"/>
        <w:rPr/>
      </w:pP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Interest expense, net decreased $3.9 million, or 11.8%, from the first two quarters of fiscal 2025 to the first two quarters of fiscal 2026, primarily driven by a lower average debt balance.</w:t>
      </w:r>
    </w:p>
    <w:p>
      <w:pPr>
        <w:pStyle w:val="TextBody"/>
        <w:bidi w:val="0"/>
        <w:spacing w:lineRule="auto" w:line="288" w:before="240" w:after="283"/>
        <w:jc w:val="both"/>
        <w:rPr/>
      </w:pPr>
      <w:r>
        <w:rPr>
          <w:rFonts w:ascii="Times New Roman;serif" w:hAnsi="Times New Roman;serif"/>
          <w:b w:val="false"/>
          <w:i/>
          <w:color w:val="000000"/>
          <w:sz w:val="20"/>
        </w:rPr>
        <w:t>Loss on divestiture of Insomnia Cookies:</w:t>
      </w:r>
      <w:r>
        <w:rPr>
          <w:color w:val="000000"/>
        </w:rPr>
        <w:t xml:space="preserve"> </w:t>
      </w:r>
      <w:r>
        <w:rPr>
          <w:rFonts w:ascii="Times New Roman;serif" w:hAnsi="Times New Roman;serif"/>
          <w:b w:val="false"/>
          <w:color w:val="000000"/>
          <w:sz w:val="20"/>
        </w:rPr>
        <w:t>In the second quarter of fiscal 2025, we sold the remainder of our ownership interest in Insomnia Cookies for cash proceeds and recognized a loss on divestiture of $11.5 million (gross of income taxes) with no comparable activity in the first two quarters of fiscal 2026.</w:t>
      </w:r>
    </w:p>
    <w:p>
      <w:pPr>
        <w:pStyle w:val="TextBody"/>
        <w:bidi w:val="0"/>
        <w:spacing w:lineRule="auto" w:line="288" w:before="240" w:after="283"/>
        <w:jc w:val="both"/>
        <w:rPr/>
      </w:pPr>
      <w:r>
        <w:rPr>
          <w:rFonts w:ascii="Times New Roman;serif" w:hAnsi="Times New Roman;serif"/>
          <w:b w:val="false"/>
          <w:i/>
          <w:color w:val="000000"/>
          <w:sz w:val="20"/>
          <w:shd w:fill="FFFFFF" w:val="clear"/>
        </w:rPr>
        <w:t>Income tax (benefit)/expense:</w:t>
      </w:r>
      <w:r>
        <w:rPr>
          <w:color w:val="000000"/>
          <w:shd w:fill="FFFFFF" w:val="clear"/>
        </w:rPr>
        <w:t xml:space="preserve"> </w:t>
      </w:r>
      <w:r>
        <w:rPr>
          <w:rFonts w:ascii="Times New Roman;serif" w:hAnsi="Times New Roman;serif"/>
          <w:b w:val="false"/>
          <w:color w:val="000000"/>
          <w:sz w:val="20"/>
          <w:shd w:fill="FFFFFF" w:val="clear"/>
        </w:rPr>
        <w:t xml:space="preserve">Income tax benefit was $0.7 million in the first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quarters of fiscal 2026, while income tax benefit was $23.1 million in the first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quarters of fiscal 2025. The variance was primarily driven by the WKS Refranchising and the refranchising of Japan and an increase in pre-tax results in the first two quarters of fiscal 2026.</w:t>
      </w:r>
    </w:p>
    <w:p>
      <w:pPr>
        <w:pStyle w:val="TextBody"/>
        <w:bidi w:val="0"/>
        <w:spacing w:lineRule="auto" w:line="288" w:before="360" w:after="283"/>
        <w:jc w:val="both"/>
        <w:rPr/>
      </w:pPr>
      <w:r>
        <w:rPr>
          <w:rFonts w:ascii="Times New Roman;serif" w:hAnsi="Times New Roman;serif"/>
          <w:b/>
          <w:i/>
          <w:color w:val="000000"/>
          <w:sz w:val="20"/>
        </w:rPr>
        <w:t>Results of Operations by Segment – Two Quarters ended June 28, 2026 compared to the Two Quarters ended June 29, 2025</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by segment for the periods indicated:</w:t>
      </w:r>
    </w:p>
    <w:tbl>
      <w:tblPr>
        <w:tblW w:w="7865" w:type="dxa"/>
        <w:jc w:val="left"/>
        <w:tblInd w:w="0" w:type="dxa"/>
        <w:tblLayout w:type="fixed"/>
        <w:tblCellMar>
          <w:top w:w="28" w:type="dxa"/>
          <w:left w:w="28" w:type="dxa"/>
          <w:bottom w:w="28" w:type="dxa"/>
          <w:right w:w="28" w:type="dxa"/>
        </w:tblCellMar>
      </w:tblPr>
      <w:tblGrid>
        <w:gridCol w:w="916"/>
        <w:gridCol w:w="806"/>
        <w:gridCol w:w="812"/>
        <w:gridCol w:w="224"/>
        <w:gridCol w:w="784"/>
        <w:gridCol w:w="116"/>
        <w:gridCol w:w="109"/>
        <w:gridCol w:w="109"/>
        <w:gridCol w:w="109"/>
        <w:gridCol w:w="211"/>
        <w:gridCol w:w="736"/>
        <w:gridCol w:w="306"/>
        <w:gridCol w:w="109"/>
        <w:gridCol w:w="109"/>
        <w:gridCol w:w="109"/>
        <w:gridCol w:w="211"/>
        <w:gridCol w:w="736"/>
        <w:gridCol w:w="109"/>
        <w:gridCol w:w="109"/>
        <w:gridCol w:w="109"/>
        <w:gridCol w:w="109"/>
        <w:gridCol w:w="284"/>
        <w:gridCol w:w="287"/>
        <w:gridCol w:w="34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39,301 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25,841 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33,118 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Market Development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31,020 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19,995 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3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(37,073)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(34,863)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
              <w:jc w:val="left"/>
              <w:rPr/>
            </w:pPr>
            <w:r>
              <w:rPr>
                <w:rFonts w:ascii="Times New Roman;serif" w:hAnsi="Times New Roman;serif"/>
                <w:b/>
                <w:color w:val="000000"/>
                <w:sz w:val="20"/>
              </w:rPr>
              <w:t xml:space="preserve">Total Adjusted EBITDA </w:t>
            </w:r>
            <w:r>
              <w:rPr>
                <w:rFonts w:ascii="Times New Roman;serif" w:hAnsi="Times New Roman;serif"/>
                <w:b/>
                <w:color w:val="000000"/>
                <w:sz w:val="10"/>
              </w:rPr>
              <w:t>(1)</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61,902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44,091</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17,811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40.4</w:t>
            </w: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Refer to “</w:t>
      </w:r>
      <w:hyperlink w:anchor="i6781294ebfbd46738ac2f0e45c372155_103">
        <w:r>
          <w:rPr>
            <w:rStyle w:val="InternetLink"/>
            <w:rFonts w:ascii="Times New Roman;serif" w:hAnsi="Times New Roman;serif"/>
            <w:b w:val="false"/>
            <w:color w:val="0000FF"/>
            <w:sz w:val="20"/>
            <w:u w:val="single"/>
          </w:rPr>
          <w:t>Key Performance Indicators and Non-GAAP Measures</w:t>
        </w:r>
      </w:hyperlink>
      <w:r>
        <w:rPr>
          <w:color w:val="000000"/>
        </w:rPr>
        <w:t xml:space="preserve">” </w:t>
      </w:r>
      <w:r>
        <w:rPr>
          <w:rFonts w:ascii="Times New Roman;serif" w:hAnsi="Times New Roman;serif"/>
          <w:b w:val="false"/>
          <w:color w:val="000000"/>
          <w:sz w:val="20"/>
        </w:rPr>
        <w:t xml:space="preserve">above for a reconciliation of Adjusted EBITDA to net loss.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U.S. segment Adjusted EBITDA increased $13.5 million, or 52.1%, primarily driven by increased operational efficiencies. The margin increase of 450 basis points to 10.0% in the first two quarters of fiscal 2026 compared to the first two quarters of fiscal 2025 was primarily driven by increased operational efficiencies across operating expenses and SG&amp;A as we continue to deliver on our turnaround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decreased $4.5 million, or 13.5%, with margin decline of 130 basis points to 11.8% in the first two quarters of fiscal 2026 compared to the first two quarters of fiscal 2025, as lower transaction volume continued to impact operating leverage for the International equity markets, particularly the U.K.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Development segment Adjusted EBITDA increased $11.0 million, or 55.1%, impacted by franchise acquisitions in fiscal 2026. The margin decrease of 500 basis points to 50.7% in the first two quarters of fiscal 2026 compared to the first two quarters of fiscal 2025 was driven mainly by increased revenues from the WKS Refranchising and the refranchising of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Capital Resources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to date have included cash from operating activities, cash on hand, amounts available under our credit facility, commercial trade financing including our structured payables programs, and proceeds from strategic transactions. Our primary use of liquidity is to fund the cash requirements of our business operations, including working capital needs, capital expenditures, acquisitions, and other commitments.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obligations primarily consist of our debt and lease obligations, as well as commitments under ingredient and other forward purchase contracts. As of December 28, 2025, we had the following future obligations: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aggregate principal amount of $900.3 million outstanding under the 2023 Facility;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aggregate principal amount of $2.5 million outstanding under short-term, uncommitted lines of credit;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Non-cancellable future minimum operating lease payments totaling $641.6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Non-cancellable future minimum finance lease payments totaling $92.8 million;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Purchase commitments under ingredient and other forward purchase contracts of $74.0 million. </w:t>
      </w:r>
    </w:p>
    <w:p>
      <w:pPr>
        <w:pStyle w:val="TextBody"/>
        <w:bidi w:val="0"/>
        <w:spacing w:lineRule="auto" w:line="288" w:before="240" w:after="283"/>
        <w:jc w:val="both"/>
        <w:rPr/>
      </w:pPr>
      <w:r>
        <w:rPr>
          <w:rFonts w:ascii="Times New Roman;serif" w:hAnsi="Times New Roman;serif"/>
          <w:b w:val="false"/>
          <w:color w:val="000000"/>
          <w:sz w:val="20"/>
        </w:rPr>
        <w:t xml:space="preserve">As of June 28, 2026, the principal amount outstanding under our 2023 Facility was $791.9 million. The decrease from the 2023 Facility balance as of December 28, 2025 was primarily driven by proceeds from the refranchising transactions completed in the first quarter of fiscal 2026 which were used to pay down debt. Refer to </w:t>
      </w:r>
      <w:hyperlink w:anchor="i6781294ebfbd46738ac2f0e45c372155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to the Condensed Consolidated Financial Statements 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$21.8 million and $42.4 million as of June 28, 2026 and December 28, 2025, respectively. We believe that our existing cash and cash equivalents and available borrowing capacity under our credit facilities discussed above will be sufficient to fund our operating and capital needs for at least the next twelve months. Our assessment of the period of time through which our financial resources will be adequate to support our operations could vary because of, and our future capital requirements will depend on, many factors, including our growth rate, the growth of our presence in new markets, and the expansion of our omni-channel model in existing markets.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line with our capital allocation priorities and growth strategy, the Company does not currently pay cash dividends to holders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generated cash from operations and have credit availability and capacity to fund operating and discretionary spending such as capital expenditures and debt repayments. Our requirement for working capital is not significant because our consumers pay us in cash or on debit or credit cards at the time of the sale and we are able to sell many of our inventory items before payment is due to the vendors for the various inputs to such items. The following table and discussion present, for the periods indicated, a summary of our key cash flows from operating, investing, and financing activities: </w:t>
      </w:r>
    </w:p>
    <w:tbl>
      <w:tblPr>
        <w:tblW w:w="6909" w:type="dxa"/>
        <w:jc w:val="left"/>
        <w:tblInd w:w="0" w:type="dxa"/>
        <w:tblLayout w:type="fixed"/>
        <w:tblCellMar>
          <w:top w:w="28" w:type="dxa"/>
          <w:left w:w="28" w:type="dxa"/>
          <w:bottom w:w="28" w:type="dxa"/>
          <w:right w:w="28" w:type="dxa"/>
        </w:tblCellMar>
      </w:tblPr>
      <w:tblGrid>
        <w:gridCol w:w="1552"/>
        <w:gridCol w:w="1365"/>
        <w:gridCol w:w="1372"/>
        <w:gridCol w:w="212"/>
        <w:gridCol w:w="803"/>
        <w:gridCol w:w="109"/>
        <w:gridCol w:w="109"/>
        <w:gridCol w:w="109"/>
        <w:gridCol w:w="109"/>
        <w:gridCol w:w="212"/>
        <w:gridCol w:w="802"/>
        <w:gridCol w:w="155"/>
      </w:tblGrid>
      <w:tr>
        <w:trPr/>
        <w:tc>
          <w:tcPr>
            <w:tcW w:w="15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Two Quarters Ended</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thousands) </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for)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for) investing activities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for)/provided by financing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pPr>
      <w:r>
        <w:rPr>
          <w:rFonts w:ascii="Times New Roman;serif" w:hAnsi="Times New Roman;serif"/>
          <w:b w:val="false"/>
          <w:i/>
          <w:color w:val="000000"/>
          <w:sz w:val="20"/>
        </w:rPr>
        <w:t>Operating Activities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operations totaled $10.0 million for the first two quarters of fiscal 2026, a fluctuation of $63.3 million compared with the first two quarters of fiscal 2025, primarily due to an increase in operational efficiencies as we continue to deliver on our turnaround plan. </w:t>
      </w:r>
    </w:p>
    <w:p>
      <w:pPr>
        <w:pStyle w:val="TextBody"/>
        <w:bidi w:val="0"/>
        <w:spacing w:lineRule="auto" w:line="288" w:before="360" w:after="283"/>
        <w:jc w:val="both"/>
        <w:rPr/>
      </w:pPr>
      <w:r>
        <w:rPr>
          <w:rFonts w:ascii="Times New Roman;serif" w:hAnsi="Times New Roman;serif"/>
          <w:b w:val="false"/>
          <w:i/>
          <w:color w:val="000000"/>
          <w:sz w:val="20"/>
        </w:rPr>
        <w:t>Investing Activities</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Cash provided by investing activities totaled $68.0 million for the first two quarters of fiscal 2026, an increase of $37.1 million compared with the first two quarters of fiscal 2025. The cash provided by investing activities in the first two quarters of fiscal 2026 was primarily due to the refranchising transactions discussed in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to the Condensed Consolidated Financial Statements, partially offset by the settlement of the liability to KK Canada discussed in </w:t>
      </w:r>
      <w:hyperlink w:anchor="i6781294ebfbd46738ac2f0e45c372155_88">
        <w:r>
          <w:rPr>
            <w:rStyle w:val="InternetLink"/>
            <w:rFonts w:ascii="Times New Roman;serif" w:hAnsi="Times New Roman;serif"/>
            <w:b w:val="false"/>
            <w:color w:val="0000FF"/>
            <w:sz w:val="20"/>
            <w:u w:val="single"/>
          </w:rPr>
          <w:t>Note 18</w:t>
        </w:r>
      </w:hyperlink>
      <w:r>
        <w:rPr>
          <w:rFonts w:ascii="Times New Roman;serif" w:hAnsi="Times New Roman;serif"/>
          <w:b w:val="false"/>
          <w:color w:val="000000"/>
          <w:sz w:val="20"/>
        </w:rPr>
        <w:t xml:space="preserve">, Redeemable Noncontrolling Interests, to the Condensed Consolidated Financial Statements, and cash for capital expenditures. As part of our turnaround plan, we expect to reduce capital investment by using existing assets and focusing on franchise development. </w:t>
      </w:r>
    </w:p>
    <w:p>
      <w:pPr>
        <w:pStyle w:val="TextBody"/>
        <w:bidi w:val="0"/>
        <w:spacing w:lineRule="auto" w:line="288" w:before="360" w:after="283"/>
        <w:jc w:val="both"/>
        <w:rPr/>
      </w:pPr>
      <w:r>
        <w:rPr>
          <w:rFonts w:ascii="Times New Roman;serif" w:hAnsi="Times New Roman;serif"/>
          <w:b w:val="false"/>
          <w:i/>
          <w:color w:val="000000"/>
          <w:sz w:val="20"/>
        </w:rPr>
        <w:t>Financing Activities</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Cash used for financing activities totaled $98.9 million for the first two quarters of fiscal 2026, a fluctuation of $115.2 million compared with the first two quarters of fiscal 2025, primarily driven by the repayment of long-term debt balances with a portion of the net proceeds received from the refranchising transactions discussed in </w:t>
      </w:r>
      <w:hyperlink w:anchor="i6781294ebfbd46738ac2f0e45c372155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Acquisitions and Divestitures, to the Condensed Consolidated Financial Statements.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debt obligations consist of the following:</w:t>
      </w:r>
    </w:p>
    <w:tbl>
      <w:tblPr>
        <w:tblW w:w="6467" w:type="dxa"/>
        <w:jc w:val="left"/>
        <w:tblInd w:w="0" w:type="dxa"/>
        <w:tblLayout w:type="fixed"/>
        <w:tblCellMar>
          <w:top w:w="28" w:type="dxa"/>
          <w:left w:w="28" w:type="dxa"/>
          <w:bottom w:w="28" w:type="dxa"/>
          <w:right w:w="28" w:type="dxa"/>
        </w:tblCellMar>
      </w:tblPr>
      <w:tblGrid>
        <w:gridCol w:w="1242"/>
        <w:gridCol w:w="1094"/>
        <w:gridCol w:w="1098"/>
        <w:gridCol w:w="211"/>
        <w:gridCol w:w="841"/>
        <w:gridCol w:w="109"/>
        <w:gridCol w:w="109"/>
        <w:gridCol w:w="109"/>
        <w:gridCol w:w="109"/>
        <w:gridCol w:w="270"/>
        <w:gridCol w:w="1078"/>
        <w:gridCol w:w="197"/>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16"/>
              </w:rPr>
            </w:pPr>
            <w:r>
              <w:rPr>
                <w:rFonts w:ascii="Times New Roman;serif" w:hAnsi="Times New Roman;serif"/>
                <w:b/>
                <w:i/>
                <w:color w:val="000000"/>
                <w:sz w:val="16"/>
              </w:rPr>
              <w:t>(in thousands)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742,825 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Facility — revolving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lines of credit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977,829</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 less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794,214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911,852</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2023 Secured Credit Facility</w:t>
      </w:r>
    </w:p>
    <w:p>
      <w:pPr>
        <w:pStyle w:val="TextBody"/>
        <w:bidi w:val="0"/>
        <w:spacing w:lineRule="auto" w:line="288" w:before="120" w:after="283"/>
        <w:jc w:val="both"/>
        <w:rPr/>
      </w:pPr>
      <w:r>
        <w:rPr>
          <w:rFonts w:ascii="Times New Roman;serif" w:hAnsi="Times New Roman;serif"/>
          <w:b w:val="false"/>
          <w:color w:val="000000"/>
          <w:sz w:val="20"/>
        </w:rPr>
        <w:t xml:space="preserve">As of June 28, 2026, the 2023 Facility consisted of a $300.0 million senior secured revolving credit facility and a term loan with an original principal amount of $700.0 million. During the second quarter of fiscal 2025, the Company amended the 2023 Facility to, among other things, establish additional, incremental term loan commitments in an aggregate principal amount of $125.0 million. Refer to </w:t>
      </w:r>
      <w:hyperlink w:anchor="i6781294ebfbd46738ac2f0e45c372155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Long-Term Debt, to the Condensed Consolidated Financial Statements for further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2023 Facility, we are subject to a requirement to maintain a leverage ratio of less than 5.00 to 1.00 as of the end of each quarterly Test Period (as defined in the 2023 Facility) through maturity in March 2028. The leverage ratio under the 2023 Facility is defined as the ratio of (a) Total Indebtedness (as defined in the 2023 Facility, which includes all debt and finance lease obligations) minus unrestricted cash and cash equivalents to (b) a defined calculation of Adjusted EBITDA (2023 Facility Adjusted EBITDA) for the most recently ended Test Period. Our leverage ratio was 3.9 to 1.00 as of the end of the second quarter of fiscal 2026 compared to 4.4 to 1.00 as of the end of fiscal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related to the 2023 Facility as of June 28, 2026. If we are unable to meet the 2023 Facility financial or other covenants in future periods, it could limit our ability to draw on the revolving credit facility, could result in the lenders accelerating the maturity of such indebtedness and foreclosing upon the collateral pledged thereunder, and could require the replacement of the 2023 Facility with new sources of financing, which we may be unable to secure on favorable terms or at all, any of which could negatively impact our liquidity.</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Short-Term Lines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two agreements with existing lenders providing for short-term, uncommitted lines of credit up to an aggregate of $25.0 million. Borrowings under these short-term lines of credit are payable to the lenders on a revolving basis for tenors up to three months and are subject to an interest rate of adjusted term SOFR plus a credit spread adjustment of 0.10% plus a margin of 1.75%.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006938"/>
          <w:sz w:val="20"/>
        </w:rPr>
        <w:t>Critical Accounting Policies and Estimates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Form 10-Q have been prepared in conformity with GAAP. The preparation of the Condensed Consolidated Financial Statements requires the use of judgments, estimates, and assumptions that affect the reported amounts of assets, liabilities, revenues, and expenses as well as related disclosures. We consider an accounting judgment, estimate, or assumption to be critical when (1) the estimate or assumption is complex in nature or requires a high degree of judgment and (2) the use of different judgments, estimates, and assumptions could have a material impact on our Condensed Consolidated Financial Statements. Actual results could differ from the estimates made by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described in “Management’s Discussion and Analysis of Financial Condition and Results of Operations” set forth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006938"/>
          <w:sz w:val="20"/>
        </w:rPr>
        <w:t>New Accounting Pronouncements</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Refer to </w:t>
      </w:r>
      <w:hyperlink w:anchor="i6781294ebfbd46738ac2f0e45c372155_34">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Description of Business and Summary of Significant Accounting Policies to the Condensed Consolidated Financial Statements for a detailed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pPr>
      <w:r>
        <w:rPr>
          <w:rFonts w:ascii="Times New Roman;serif" w:hAnsi="Times New Roman;serif"/>
          <w:b/>
          <w:color w:val="006938"/>
          <w:sz w:val="20"/>
        </w:rPr>
        <w:t>Item 3. Quantitative and Qualitative Disclosures About Market Risk</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Effects of Changing Prices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the effects of commodity price fluctuations in the cost of ingredients of our products, of which flour, sugar, and shortening are the most significant. These costs are subject to fluctuations due to a number of factors, including, but not limited to, market conditions, economic and geopolitical uncertainty, demand for raw materials, weather, energy costs, currency fluctuations, supplier capacities, governmental actions, import and export requirements (including tariffs), armed hostilities, and other factors beyond our control. During the first two quarters of fiscal 2026, we continued to experience headwinds from commodity inflation globally. We have undertaken efforts to effectively manage inflationary cost increases through rapid inventory turnover and reduced inventory waste, and increased focus on resiliency of our supply chains. Additionally, from time to time we may enter into forward contracts for supply through our vendors for raw materials which are ingredients of our products or which are components of such ingredients, including wheat, sugar, and vegetable oil.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the effects of commodity price fluctuations in the cost of gasoline used by our delivery vehicles. To mitigate the risk of fluctuations in the price of our fuel purchases, we may directly purchase commodity futures contracts. </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interest rates on any borrowings under our debt facilities, which bear interest based on the one-month SOFR (with a floor of zero). Generally, interest rate changes could impact the amount of our interest paid and, therefore, our future earnings and cash flows, assuming other factors are held constant. To mitigate the impact of changes in SOFR on interest expense for a portion of our variable rate debt, we have entered into interest rate swaps on $550.0 million notional of our $804.8 million of outstanding debt under the 2023 Facility and short-term lines of credit as of June 28, 2026, which we account for as cash flow hedges. The interest rate swap agreements are scheduled to mature in March 2028. Based on the $254.8 million of unhedged outstanding debt as of June 28, 2026, a 100 basis point increase or decrease in the one-month SOFR would result in a $2.5 million increase or decrease, respectively, in interest expense for a 12-month period, based on the daily average of the one-month SOFR for the quarter ended June 28, 2026.</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Exchange Rate Risk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on the operations of our subsidiaries that have functional currencies other than the U.S. dollar, whose revenues accounted for approximately 35% of our total net revenues during the first two quarters ended June 28, 2026. A substantial majority of these revenues, or approximately $117.3 million through the quarter ended June 28, 2026, were attributable to subsidiaries whose functional currencies are the Canadian dollar, the British pound sterling, the Euro, the Australian dollar, the New Zealand dollar, and the Mexican peso. A 10% increase or decrease in the average exchange rate of these currencies against the U.S. dollar would have resulted in a decrease or increase, respectively, of approximately $11.7 million in our total net revenues for the two quarters ended June 28,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engage in foreign currency exchange and credit transactions with our non-U.S. subsidiaries, which we typically hedge. To date, the impact of such transactions, including the cost of hedging, has not been material. We do not engage in foreign currency or hedging transactions for speculative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promulgated under the Securities Exchange Act of 1934, as amended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28, 2026, we completed an evaluation, under the supervision and with the participation of our management, including our CEO and CFO, of the effectiveness of the design and operation of our disclosure controls and procedures. Based on this evaluation, our CEO and CFO concluded that our disclosure controls and procedures were effective as of the end of the period covered by this Form 10-Q.</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during the fiscal quarter ended June 28, 2026 in our internal control over financial reporting (as defined in Rule 13a-15(f)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6938"/>
          <w:sz w:val="22"/>
        </w:rPr>
      </w:pPr>
      <w:r>
        <w:rPr>
          <w:rFonts w:ascii="Times New Roman;serif" w:hAnsi="Times New Roman;serif"/>
          <w:b/>
          <w:color w:val="006938"/>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 xml:space="preserve">Item 1. Legal Proceedings </w:t>
      </w:r>
    </w:p>
    <w:p>
      <w:pPr>
        <w:pStyle w:val="TextBody"/>
        <w:bidi w:val="0"/>
        <w:spacing w:lineRule="auto" w:line="288" w:before="120" w:after="283"/>
        <w:jc w:val="both"/>
        <w:rPr/>
      </w:pPr>
      <w:r>
        <w:rPr>
          <w:rFonts w:ascii="Times New Roman;serif" w:hAnsi="Times New Roman;serif"/>
          <w:b w:val="false"/>
          <w:color w:val="000000"/>
          <w:sz w:val="20"/>
        </w:rPr>
        <w:t xml:space="preserve">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 Some of these matters may involve claims of substantial amounts. These legal proceedings may be subject to many uncertainties and there can be no assurance of the outcome of any individual proceedings. Refer to </w:t>
      </w:r>
      <w:hyperlink w:anchor="i6781294ebfbd46738ac2f0e45c372155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Commitments and Contingencies, to the Condensed Consolidated Financial Statements included in Item 1 of Part I of this Form 10-Q for more information regarding certain pending legal proceedings, which is incorporated by reference into this Item 1 of Part II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pPr>
      <w:r>
        <w:rPr>
          <w:rFonts w:ascii="Times New Roman;serif" w:hAnsi="Times New Roman;serif"/>
          <w:b/>
          <w:color w:val="006938"/>
          <w:sz w:val="20"/>
        </w:rPr>
        <w:t>Item 1A. Risk Factors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“Risk Factors” in Item 1A of Part I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Item 2. Unregistered Sales of Equity Securities and 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6938"/>
          <w:sz w:val="20"/>
        </w:rPr>
      </w:pPr>
      <w:r>
        <w:rPr>
          <w:rFonts w:ascii="Times New Roman;serif" w:hAnsi="Times New Roman;serif"/>
          <w:b/>
          <w:color w:val="006938"/>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6938"/>
          <w:sz w:val="20"/>
        </w:rPr>
      </w:pPr>
      <w:r>
        <w:rPr>
          <w:rFonts w:ascii="Times New Roman;serif" w:hAnsi="Times New Roman;serif"/>
          <w:b/>
          <w:color w:val="006938"/>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6938"/>
          <w:sz w:val="20"/>
        </w:rPr>
      </w:pPr>
      <w:r>
        <w:rPr>
          <w:rFonts w:ascii="Times New Roman;serif" w:hAnsi="Times New Roman;serif"/>
          <w:b/>
          <w:color w:val="006938"/>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4"/>
        <w:gridCol w:w="222"/>
        <w:gridCol w:w="225"/>
        <w:gridCol w:w="109"/>
        <w:gridCol w:w="109"/>
        <w:gridCol w:w="109"/>
        <w:gridCol w:w="3100"/>
        <w:gridCol w:w="2504"/>
        <w:gridCol w:w="3573"/>
      </w:tblGrid>
      <w:tr>
        <w:trPr/>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Amended and Restated Krispy Kreme, Inc. 2021 Omnibus Incentive Plan (filed as Exhibit 99.1 to the Company’s Registration Statement on Form S-8, File number 333-296676, filed on June 10, 2026, and incorporated by reference herein)</w:t>
              </w:r>
            </w:hyperlink>
          </w:p>
          <w:p>
            <w:pPr>
              <w:pStyle w:val="TableContents"/>
              <w:bidi w:val="0"/>
              <w:spacing w:before="0" w:after="0"/>
              <w:jc w:val="both"/>
              <w:rPr/>
            </w:pPr>
            <w:r>
              <w:rPr/>
            </w:r>
          </w:p>
          <w:p>
            <w:pPr>
              <w:pStyle w:val="TableContents"/>
              <w:bidi w:val="0"/>
              <w:spacing w:before="0" w:after="0"/>
              <w:jc w:val="both"/>
              <w:rPr/>
            </w:pPr>
            <w:r>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2formofrestricted.htm">
              <w:r>
                <w:rPr>
                  <w:rStyle w:val="InternetLink"/>
                  <w:rFonts w:ascii="Times New Roman;serif" w:hAnsi="Times New Roman;serif"/>
                  <w:b w:val="false"/>
                  <w:color w:val="0000FF"/>
                  <w:sz w:val="20"/>
                  <w:u w:val="single"/>
                </w:rPr>
                <w:t>Form of Restricted Stock Unit Agreement for Non-Employee Directors (2026)</w:t>
              </w:r>
            </w:hyperlink>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3formofrestricted.htm">
              <w:r>
                <w:rPr>
                  <w:rStyle w:val="InternetLink"/>
                  <w:rFonts w:ascii="Times New Roman;serif" w:hAnsi="Times New Roman;serif"/>
                  <w:b w:val="false"/>
                  <w:color w:val="0000FF"/>
                  <w:sz w:val="20"/>
                  <w:u w:val="single"/>
                </w:rPr>
                <w:t>Form of Restricted Stock Unit Agreement for Employees (2026)</w:t>
              </w:r>
            </w:hyperlink>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104formofperformanc.htm">
              <w:r>
                <w:rPr>
                  <w:rStyle w:val="InternetLink"/>
                  <w:rFonts w:ascii="Times New Roman;serif" w:hAnsi="Times New Roman;serif"/>
                  <w:b w:val="false"/>
                  <w:color w:val="0000FF"/>
                  <w:sz w:val="20"/>
                  <w:u w:val="single"/>
                </w:rPr>
                <w:t>Form of Performance-Based Restricted Stock Unit Agreement (2026)</w:t>
              </w:r>
            </w:hyperlink>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311-302certificationceo.htm">
              <w:r>
                <w:rPr>
                  <w:rStyle w:val="InternetLink"/>
                  <w:rFonts w:ascii="Times New Roman;serif" w:hAnsi="Times New Roman;serif"/>
                  <w:b w:val="false"/>
                  <w:color w:val="0000FF"/>
                  <w:sz w:val="20"/>
                  <w:u w:val="single"/>
                </w:rPr>
                <w:t>Certification of Chief Executive Officer of Krispy Kreme, Inc. pursuant to Rule 13a-14(a) or 15d-14(a) promulgated under the Exchange Act.</w:t>
              </w:r>
            </w:hyperlink>
          </w:p>
          <w:p>
            <w:pPr>
              <w:pStyle w:val="TableContents"/>
              <w:bidi w:val="0"/>
              <w:spacing w:before="0" w:after="0"/>
              <w:jc w:val="both"/>
              <w:rPr/>
            </w:pPr>
            <w:r>
              <w:rPr/>
            </w:r>
          </w:p>
          <w:p>
            <w:pPr>
              <w:pStyle w:val="TableContents"/>
              <w:bidi w:val="0"/>
              <w:spacing w:before="0" w:after="0"/>
              <w:jc w:val="both"/>
              <w:rPr/>
            </w:pPr>
            <w:r>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312-302certificationcfo.htm">
              <w:r>
                <w:rPr>
                  <w:rStyle w:val="InternetLink"/>
                  <w:rFonts w:ascii="Times New Roman;serif" w:hAnsi="Times New Roman;serif"/>
                  <w:b w:val="false"/>
                  <w:color w:val="0000FF"/>
                  <w:sz w:val="20"/>
                  <w:u w:val="single"/>
                </w:rPr>
                <w:t>Certification of Chief Financial Officer of Krispy Kreme, Inc. pursuant to Rule 13a-14(a) or 15d-14(a) promulgated under the Exchange Act.</w:t>
              </w:r>
            </w:hyperlink>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32-906certificationq220.htm">
              <w:r>
                <w:rPr>
                  <w:rStyle w:val="InternetLink"/>
                  <w:rFonts w:ascii="Times New Roman;serif" w:hAnsi="Times New Roman;serif"/>
                  <w:b w:val="false"/>
                  <w:color w:val="0000FF"/>
                  <w:sz w:val="20"/>
                  <w:u w:val="single"/>
                </w:rPr>
                <w:t>Certifications of Chief Executive Officer and Chief Financial Officer of Krispy Kreme, Inc. pursuant to Rule 13a-14(b) or 15d-14(b) promulgated under the Exchange Act, and Section 1350 of Chapter 63 of Title 18 of the United States Code.</w:t>
              </w:r>
            </w:hyperlink>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Form 10-Q for the quarter ended June 28, 2026, formatted in Inline XBRL: (i) Condensed Consolidated Statements of Operations, (ii) Condensed Consolidated Statements of Comprehensive (Loss)/Income, (iii) Condensed Consolidated Balance Sheets, (iv) Condensed Consolidated Statements of Changes in Shareholders’ Equity, (v) Condensed Consolidated Statements of Cash Flows, and (vi) Notes to Condensed Consolidated Financial Statements.</w:t>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386" w:type="dxa"/>
        <w:jc w:val="left"/>
        <w:tblInd w:w="0" w:type="dxa"/>
        <w:tblLayout w:type="fixed"/>
        <w:tblCellMar>
          <w:top w:w="28" w:type="dxa"/>
          <w:left w:w="28" w:type="dxa"/>
          <w:bottom w:w="28" w:type="dxa"/>
          <w:right w:w="28" w:type="dxa"/>
        </w:tblCellMar>
      </w:tblPr>
      <w:tblGrid>
        <w:gridCol w:w="124"/>
        <w:gridCol w:w="109"/>
        <w:gridCol w:w="109"/>
        <w:gridCol w:w="892"/>
        <w:gridCol w:w="892"/>
        <w:gridCol w:w="12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781294ebfbd46738ac2f0e45c37215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949" w:type="dxa"/>
        <w:jc w:val="left"/>
        <w:tblInd w:w="0" w:type="dxa"/>
        <w:tblLayout w:type="fixed"/>
        <w:tblCellMar>
          <w:top w:w="28" w:type="dxa"/>
          <w:left w:w="28" w:type="dxa"/>
          <w:bottom w:w="28" w:type="dxa"/>
          <w:right w:w="28" w:type="dxa"/>
        </w:tblCellMar>
      </w:tblPr>
      <w:tblGrid>
        <w:gridCol w:w="200"/>
        <w:gridCol w:w="177"/>
        <w:gridCol w:w="178"/>
        <w:gridCol w:w="407"/>
        <w:gridCol w:w="407"/>
        <w:gridCol w:w="5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tbl>
      <w:tblPr>
        <w:tblW w:w="5562" w:type="dxa"/>
        <w:jc w:val="right"/>
        <w:tblInd w:w="0" w:type="dxa"/>
        <w:tblLayout w:type="fixed"/>
        <w:tblCellMar>
          <w:top w:w="28" w:type="dxa"/>
          <w:left w:w="28" w:type="dxa"/>
          <w:bottom w:w="28" w:type="dxa"/>
          <w:right w:w="28" w:type="dxa"/>
        </w:tblCellMar>
      </w:tblPr>
      <w:tblGrid>
        <w:gridCol w:w="287"/>
        <w:gridCol w:w="253"/>
        <w:gridCol w:w="253"/>
        <w:gridCol w:w="1384"/>
        <w:gridCol w:w="1384"/>
        <w:gridCol w:w="2001"/>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5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Krispy Kreme, Inc.</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Raphael Duvivier</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Raphael Duvivier</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10.2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rFonts w:ascii="Times New Roman;serif" w:hAnsi="Times New Roman;serif"/>
          <w:b w:val="false"/>
          <w:i/>
          <w:color w:val="000000"/>
          <w:sz w:val="24"/>
        </w:rPr>
      </w:pPr>
      <w:r>
        <w:rPr>
          <w:rFonts w:ascii="Times New Roman;serif" w:hAnsi="Times New Roman;serif"/>
          <w:b w:val="false"/>
          <w:i/>
          <w:color w:val="000000"/>
          <w:sz w:val="24"/>
        </w:rPr>
        <w:t>Non-Employee Director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KRISPY KREME,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OMNIBUS INCENTIVE PLAN</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240"/>
        <w:ind w:left="0" w:right="0" w:firstLine="720"/>
        <w:jc w:val="both"/>
        <w:rPr/>
      </w:pPr>
      <w:r>
        <w:rPr>
          <w:rFonts w:ascii="Times New Roman;serif" w:hAnsi="Times New Roman;serif"/>
          <w:b/>
          <w:color w:val="000000"/>
          <w:sz w:val="24"/>
        </w:rPr>
        <w:t>THIS RESTRICTED STOCK UNIT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Restricted Stock Unit Agreement</w:t>
      </w:r>
      <w:r>
        <w:rPr>
          <w:color w:val="000000"/>
        </w:rPr>
        <w:t>”</w:t>
      </w:r>
      <w:r>
        <w:rPr>
          <w:rFonts w:ascii="Times New Roman;serif" w:hAnsi="Times New Roman;serif"/>
          <w:b w:val="false"/>
          <w:color w:val="000000"/>
          <w:sz w:val="24"/>
        </w:rPr>
        <w:t>), dated as of {Grant Date} (the “</w:t>
      </w:r>
      <w:r>
        <w:rPr>
          <w:rFonts w:ascii="Times New Roman;serif" w:hAnsi="Times New Roman;serif"/>
          <w:b/>
          <w:color w:val="000000"/>
          <w:sz w:val="24"/>
        </w:rPr>
        <w:t>Grant Date</w:t>
      </w:r>
      <w:r>
        <w:rPr>
          <w:color w:val="000000"/>
        </w:rPr>
        <w:t>”</w:t>
      </w:r>
      <w:r>
        <w:rPr>
          <w:rFonts w:ascii="Times New Roman;serif" w:hAnsi="Times New Roman;serif"/>
          <w:b w:val="false"/>
          <w:color w:val="000000"/>
          <w:sz w:val="24"/>
        </w:rPr>
        <w:t xml:space="preserve">), is made by and between </w:t>
      </w:r>
      <w:r>
        <w:rPr>
          <w:rFonts w:ascii="Times New Roman;serif" w:hAnsi="Times New Roman;serif"/>
          <w:b/>
          <w:color w:val="000000"/>
          <w:sz w:val="24"/>
        </w:rPr>
        <w:t>KRISPY KREME, INC.</w:t>
      </w:r>
      <w:r>
        <w:rPr>
          <w:rFonts w:ascii="Times New Roman;serif" w:hAnsi="Times New Roman;serif"/>
          <w:b w:val="false"/>
          <w:color w:val="000000"/>
          <w:sz w:val="24"/>
        </w:rPr>
        <w:t>,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{Participant Name} (the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Capitalized terms used but not defined herein shall have the respective meanings ascribed to them in the Krispy Kreme, Inc. 2021 Omnibus Incentive Plan (as may be amended and/or restated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Restricted Stock Units Grant</w:t>
      </w:r>
      <w:r>
        <w:rPr>
          <w:rFonts w:ascii="Times New Roman;serif" w:hAnsi="Times New Roman;serif"/>
          <w:b w:val="false"/>
          <w:color w:val="000000"/>
          <w:sz w:val="24"/>
        </w:rPr>
        <w:t>. In accordance with the terms of the Plan and subject to this Restricted Stock Unit Agreement, as of the Grant Date (to the extent applicable, as amended as such terms apply to a Participant resident in the jurisdictions listed in the Schedule, as set out in the applicable terms of the Schedule), the Participant is hereby granted «RSUs» Restricted Stock Units. The Restricted Stock Units, and any Shares acquired upon settlement thereof, are subject to the following terms and conditions and to the provisions of the Plan, the terms of which are incorporated by reference herein.</w:t>
      </w:r>
    </w:p>
    <w:p>
      <w:pPr>
        <w:pStyle w:val="TextBody"/>
        <w:bidi w:val="0"/>
        <w:spacing w:lineRule="auto" w:line="240"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Vesting Period. Please refer to Appendix: Vesting Schedule</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The Restricted Stock Units awarded hereby will vest on the time schedule set forth on the </w:t>
      </w:r>
      <w:r>
        <w:rPr>
          <w:rFonts w:ascii="Times New Roman;serif" w:hAnsi="Times New Roman;serif"/>
          <w:b/>
          <w:color w:val="000000"/>
          <w:sz w:val="24"/>
          <w:u w:val="single"/>
        </w:rPr>
        <w:t>Appendix</w:t>
      </w:r>
      <w:r>
        <w:rPr>
          <w:rFonts w:ascii="Times New Roman;serif" w:hAnsi="Times New Roman;serif"/>
          <w:b w:val="false"/>
          <w:color w:val="000000"/>
          <w:sz w:val="24"/>
        </w:rPr>
        <w:t xml:space="preserve">, provided that the Participant has remained in continuous employment with the Company and its Affiliates at all times from the Grant Date through the vesting date set forth on the </w:t>
      </w:r>
      <w:r>
        <w:rPr>
          <w:rFonts w:ascii="Times New Roman;serif" w:hAnsi="Times New Roman;serif"/>
          <w:b/>
          <w:color w:val="000000"/>
          <w:sz w:val="24"/>
          <w:u w:val="single"/>
        </w:rPr>
        <w:t>Appendix</w:t>
      </w:r>
      <w:r>
        <w:rPr>
          <w:rFonts w:ascii="Times New Roman;serif" w:hAnsi="Times New Roman;serif"/>
          <w:b w:val="false"/>
          <w:color w:val="000000"/>
          <w:sz w:val="24"/>
        </w:rPr>
        <w:t>. For purposes of this Restricted Stock Unit Agreement, “</w:t>
      </w:r>
      <w:r>
        <w:rPr>
          <w:rFonts w:ascii="Times New Roman;serif" w:hAnsi="Times New Roman;serif"/>
          <w:b/>
          <w:color w:val="000000"/>
          <w:sz w:val="24"/>
        </w:rPr>
        <w:t>Vesting Commencement Date</w:t>
      </w:r>
      <w:r>
        <w:rPr>
          <w:color w:val="000000"/>
        </w:rPr>
        <w:t xml:space="preserve">” </w:t>
      </w:r>
      <w:r>
        <w:rPr>
          <w:rFonts w:ascii="Times New Roman;serif" w:hAnsi="Times New Roman;serif"/>
          <w:b w:val="false"/>
          <w:color w:val="000000"/>
          <w:sz w:val="24"/>
        </w:rPr>
        <w:t>means {Grant Custom 2}.</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xml:space="preserve">. If, before the Restricted Stock Units have otherwise become fully vested in accordance with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Participant’s membership on the Company’s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terminates by reason of death or Disability, then the Restricted Stock Units shall immediately vest in full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of Board Membership</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2(d)</w:t>
      </w:r>
      <w:r>
        <w:rPr>
          <w:rFonts w:ascii="Times New Roman;serif" w:hAnsi="Times New Roman;serif"/>
          <w:b w:val="false"/>
          <w:color w:val="000000"/>
          <w:sz w:val="24"/>
        </w:rPr>
        <w:t>, if the Participant’s membership on the Board terminates for any reason other than as outlined in Section 2(b) above, all Restricted Stock Units that are unvested as of the date of the Participant’s termination shall automatically terminate without consideration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Notwithstanding anything to the contrary herein, in the event of a Change in Control, the Restricted Stock Units shall be treated in accordance with Section 13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Settlement of Restricted Stock Units</w:t>
      </w:r>
      <w:r>
        <w:rPr>
          <w:rFonts w:ascii="Times New Roman;serif" w:hAnsi="Times New Roman;serif"/>
          <w:b w:val="false"/>
          <w:color w:val="000000"/>
          <w:sz w:val="24"/>
        </w:rPr>
        <w:t>. The Shares related to any vested Restricted Stock Units shall be delivered promptly (and in all events within 60 days) following the date such Restricted Stock Units have become vested.</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Rights as a Stockholder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Participant shall not have any rights of a stockholder as a result of receiving Restricted Stock Units under this Restricted Stock Unit Agreement, including, but not limited to, any right to vote the Shares to be issued hereunder or any right to dividends or dividend equivalents, unless and until (and only to the extent) the Restricted Stock Units have vested and, thereafter, the Shares have been distributed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Withholding Taxes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(a)To the extent that the Participant is subject to withholding, as a condition to acceptance of any Shares in settlement of the Restricted Stock Units, the Participant authorizes withholding from payroll and any other amounts payable to such Participant, and otherwise agrees to make adequate provision for any sums required to be withheld (or permitted to be withheld in a manner that will not cause adverse accounting consequences for the Company or an Affiliate) to satisfy any U.S. federal, state, local and/or foreign tax or social insurance contribution withholding obligations (the “</w:t>
      </w:r>
      <w:r>
        <w:rPr>
          <w:rFonts w:ascii="Times New Roman;serif" w:hAnsi="Times New Roman;serif"/>
          <w:b/>
          <w:color w:val="000000"/>
          <w:sz w:val="24"/>
        </w:rPr>
        <w:t>Required Tax Payments</w:t>
      </w:r>
      <w:r>
        <w:rPr>
          <w:color w:val="000000"/>
        </w:rPr>
        <w:t>”</w:t>
      </w:r>
      <w:r>
        <w:rPr>
          <w:rFonts w:ascii="Times New Roman;serif" w:hAnsi="Times New Roman;serif"/>
          <w:b w:val="false"/>
          <w:color w:val="000000"/>
          <w:sz w:val="24"/>
        </w:rPr>
        <w:t>) of the Company or an Affiliate, if any, that arise in connection with the Restricted Stock Units. If the Participant fails to advance the Required Tax Payments after request by the Company or an Affiliate, the Company or the relevant Affiliate may, in its discretion, deduct any Required Tax Payments from any amount then or thereafter payable by the Company or the relevant Affiliate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(b)The Participant’s default election to advance the Required Tax Payments with respect to the Restricted Stock Units by withholding from the Shares otherwise to be delivered to the Participant pursuant to the Restricted Stock Units, a number of whole Shares with a Fair Market Value, determined as of the date the obligation to withhold or pay taxes first arises in connection with the Restricted Stock Units (the “</w:t>
      </w:r>
      <w:r>
        <w:rPr>
          <w:rFonts w:ascii="Times New Roman;serif" w:hAnsi="Times New Roman;serif"/>
          <w:b/>
          <w:color w:val="000000"/>
          <w:sz w:val="24"/>
        </w:rPr>
        <w:t>Tax Date</w:t>
      </w:r>
      <w:r>
        <w:rPr>
          <w:color w:val="000000"/>
        </w:rPr>
        <w:t>”</w:t>
      </w:r>
      <w:r>
        <w:rPr>
          <w:rFonts w:ascii="Times New Roman;serif" w:hAnsi="Times New Roman;serif"/>
          <w:b w:val="false"/>
          <w:color w:val="000000"/>
          <w:sz w:val="24"/>
        </w:rPr>
        <w:t>), equal to the Required Tax Payments (“</w:t>
      </w:r>
      <w:r>
        <w:rPr>
          <w:rFonts w:ascii="Times New Roman;serif" w:hAnsi="Times New Roman;serif"/>
          <w:b/>
          <w:color w:val="000000"/>
          <w:sz w:val="24"/>
        </w:rPr>
        <w:t>Net Withholding</w:t>
      </w:r>
      <w:r>
        <w:rPr>
          <w:color w:val="000000"/>
        </w:rPr>
        <w:t>”</w:t>
      </w:r>
      <w:r>
        <w:rPr>
          <w:rFonts w:ascii="Times New Roman;serif" w:hAnsi="Times New Roman;serif"/>
          <w:b w:val="false"/>
          <w:color w:val="000000"/>
          <w:sz w:val="24"/>
        </w:rPr>
        <w:t xml:space="preserve">). The Participant may also elect to satisfy his or her obligation to advance the Required Tax Payments with respect to the Restricted Stock Units by any of the following means: (1) a cash payment to the Company pursuant to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hereof, (2) Net Withholding, (3) a cash payment following the Participant’s sale of (or sale by a broker-dealer acceptable to the Company through which the Participant has sold) a number of Shares with respect to which the Required Tax Payments have arisen with a Fair Market Value determined as of the Tax Date equal to the Required Tax Payments, or (4) any combination of (1), (2), and (3) above. Net Withholding will be performed with full Shares, and not fractional Shares. No certificate representing a Share shall be delivered until the Required Tax Payments have been satisfied in full.</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Transfers</w:t>
      </w:r>
      <w:r>
        <w:rPr>
          <w:rFonts w:ascii="Times New Roman;serif" w:hAnsi="Times New Roman;serif"/>
          <w:b w:val="false"/>
          <w:color w:val="000000"/>
          <w:sz w:val="24"/>
        </w:rPr>
        <w:t>. Restricted Stock Units may not be sold, transferred, pledged, assigned or otherwise alienated or hypothecated, other than by will or by the laws of descent and distribution.</w:t>
      </w:r>
    </w:p>
    <w:p>
      <w:pPr>
        <w:pStyle w:val="TextBody"/>
        <w:bidi w:val="0"/>
        <w:spacing w:lineRule="auto" w:line="240" w:before="0" w:after="240"/>
        <w:ind w:left="0" w:right="0" w:hanging="720"/>
        <w:jc w:val="both"/>
        <w:rPr/>
      </w:pPr>
      <w:r>
        <w:rPr>
          <w:rFonts w:ascii="Times New Roman;serif" w:hAnsi="Times New Roman;serif"/>
          <w:b w:val="false"/>
          <w:color w:val="000000"/>
          <w:sz w:val="24"/>
        </w:rPr>
        <w:t>7.</w:t>
      </w:r>
      <w:r>
        <w:rPr>
          <w:rFonts w:ascii="Times New Roman;serif" w:hAnsi="Times New Roman;serif"/>
          <w:b/>
          <w:color w:val="000000"/>
          <w:sz w:val="24"/>
        </w:rPr>
        <w:t>Governing Law</w:t>
      </w:r>
      <w:r>
        <w:rPr>
          <w:rFonts w:ascii="Times New Roman;serif" w:hAnsi="Times New Roman;serif"/>
          <w:b w:val="false"/>
          <w:color w:val="000000"/>
          <w:sz w:val="24"/>
        </w:rPr>
        <w:t>. This Restricted Stock Unit Agreement shall be governed by and construed in accordance with the laws of the State of Delaware, without giving effect to the principles of conflicts of law of such state.</w:t>
      </w:r>
    </w:p>
    <w:p>
      <w:pPr>
        <w:pStyle w:val="TextBody"/>
        <w:bidi w:val="0"/>
        <w:spacing w:lineRule="auto" w:line="240" w:before="0" w:after="24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rPr>
        <w:t>Agreement Binding on Successors</w:t>
      </w:r>
      <w:r>
        <w:rPr>
          <w:rFonts w:ascii="Times New Roman;serif" w:hAnsi="Times New Roman;serif"/>
          <w:b w:val="false"/>
          <w:color w:val="000000"/>
          <w:sz w:val="24"/>
        </w:rPr>
        <w:t xml:space="preserve">. The terms of this Restricted Stock Unit Agreement shall be binding upon the Participant and upon the Participant’s heirs, executors, administrators, personal representatives, transferees, assignees and successors in interest, and upon the Company and its successors and assignees, whether the existence of the successor results from a direct or indirect purchase of all or substantially all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of the Company, or a merger, consolidation or otherwise, subject to the terms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rPr>
        <w:t>No Assignment</w:t>
      </w:r>
      <w:r>
        <w:rPr>
          <w:rFonts w:ascii="Times New Roman;serif" w:hAnsi="Times New Roman;serif"/>
          <w:b w:val="false"/>
          <w:color w:val="000000"/>
          <w:sz w:val="24"/>
        </w:rPr>
        <w:t>. Notwithstanding anything to the contrary in this Restricted Stock Unit Agreement, neither this Restricted Stock Unit Agreement nor any rights granted herein shall be assignable by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color w:val="000000"/>
          <w:sz w:val="24"/>
        </w:rPr>
        <w:t>Nature of Grant</w:t>
      </w:r>
      <w:r>
        <w:rPr>
          <w:rFonts w:ascii="Times New Roman;serif" w:hAnsi="Times New Roman;serif"/>
          <w:b w:val="false"/>
          <w:color w:val="000000"/>
          <w:sz w:val="24"/>
        </w:rPr>
        <w:t>. This Restricted Stock Unit Agreement is intended to comply with the applicable laws of any country or jurisdiction where Restricted Stock Units are granted under the Plan, and all provisions hereof shall be construed in a manner to so comply. In accepting the Restricted Stock Units, the Participant acknowledges, understands and agrees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Plan is established voluntarily by the Company, is discretionary in nature, and may be amended, suspended or terminated by the Company at any time, to the extent permitted by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grant of the Restricted Stock Units is voluntary and occasional and does not create any contractual or other right to receive future grants of Awards, or benefits in lieu of Restricted Stock Units, even if Restricted Stock Units have been granted in the past;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Awards or other grants, if any, will be at the sole discretion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(d)the Participant is voluntarily participating in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(e)the Restricted Stock Units and any Shares acquired under the Plan are not intended to replace any pension rights or compensation;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(f)the Restricted Stock Units and any Shares acquired under the Plan, and the income and value of same, are not part of the Participant’s service conditions or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(g)the future value of the Shares underlying the Restricted Stock Units is unknown, indeterminable and cannot be predicted with certainty;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(h)the value of such Shares may increase or decrease in value;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(i)to the extent permitted by applicable law, no claim or entitlement to compensation or damages shall arise from the forfeiture of the Restricted Stock Units resulting from the termination of the Participant’s membership on the Board or service with the Company or an Affiliate (for any reason whatsoever, whether or not later found to be invalid or in breach of employment laws in the jurisdiction where the Participant is providing continuous employment or the terms of the Participant’s employment or other services agreement, if any), and in consideration of the grant of the Restricted Stock Units to which the Participant is otherwise not entitled, the Participant irrevocably agrees never to institute any claim against the Company or an Affiliate, waive the Participant’s ability, if any, to bring any such claim, and release the Company or an Affiliate from any such claim; if, notwithstanding the foregoing, any such claim is allowed by a court of competent jurisdiction, then, by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participating in the Plan, the Participant shall be deemed irrevocably to have agreed not to pursue such claim and agree to execute any and all documents necessary to request dismissal or withdrawal of such claim;</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(j)for purposes of the Restricted Stock Units, the Participant’s membership on the Board will be considered terminated as of the effective date of the Participant’s resignation or removal from the Board in accordance with the Company’s Amended and Restated By-Laws, or upon not being re-elected by the Company’s stockholders at a meeting of the Company’s stockholders held for the purpose of election of directors, and unless otherwise expressly provided in this Restricted Stock Unit Agreement or determined by the Company, the Participant’s right to vest in the Restricted Stock Units will terminate as of such date and will not be extended by any notice period (e.g., the Participant’s period of Board membership or employment would not include any contractual or statutory notice period or any period of “garden leave,” request for reinstatement or similar period mandated under employment laws in the jurisdiction where the Participant is employed or the terms of the Participant’s employment or services agreement, if 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(k)unless otherwise provided in the Plan or by the Company in its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(l)the Participant acknowledges and agrees that neither the Company nor an Affiliate shall be liable for any foreign exchange rate fluctuation between the Participant’s local currency and the United States Dollar that may affect the value of the Restricted Stock Units or any amounts due to the Participant upon settlement of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11.</w:t>
      </w:r>
      <w:r>
        <w:rPr>
          <w:rFonts w:ascii="Times New Roman;serif" w:hAnsi="Times New Roman;serif"/>
          <w:b/>
          <w:i/>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Participant hereby explicitly and unambiguously consents to the collection, use and transfer, in electronic or other form, of the Participant’s personal data as described in this Restricted Stock Unit Agreement and any other grant materials by and among, as applicable, the Company and any Affiliate for the exclusive purpose of implementing, administering and managing participation in the Plan. The Participant understands that the Company and any Affiliate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Awards or any other entitlement to Shares awarded, canceled, exercised, vested, unvested or outstanding in the Participant’s favor (“Data”), for the exclusive purpose of implementing, administering and managing the Plan. The Participant understands that Data will be transferred to a third party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and that the recipient’s country (e.g., the United States) may have different data privacy laws with a lower level of protection than the Participant’s country. The Participant understands that he or she may request a list with the names and addresses of any potential recipients of the Data by contacting his or her local human resources representative. The Participant authorizes the Company, and any other possible recipients who may assist the Company (presently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i/>
          <w:color w:val="000000"/>
          <w:sz w:val="24"/>
        </w:rPr>
      </w:pPr>
      <w:r>
        <w:rPr>
          <w:rFonts w:ascii="Times New Roman;serif" w:hAnsi="Times New Roman;serif"/>
          <w:b/>
          <w:i/>
          <w:color w:val="000000"/>
          <w:sz w:val="24"/>
        </w:rPr>
        <w:t>or in the future) with implementing, administering and managing the Plan to receive, possess, use, retain and transfer the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the Participant’s Board membership, continuous employment (if any), and career with the Company or an Affiliate will not be adversely affected; the only adverse consequence of refusing or withdrawing consent is that the Company would not be able to grant the Participant restricted stock units or other equity awards or administer or maintain such awards. Therefore, the Participant understands that refusing or withdrawing consent may affect his or her ability to participate in the Plan. For more information on the consequences of the Participant’s refusal to consent or withdrawal of consent, the Participant understands that he or she may contact his or her local human resources representative.</w:t>
      </w:r>
    </w:p>
    <w:p>
      <w:pPr>
        <w:pStyle w:val="TextBody"/>
        <w:bidi w:val="0"/>
        <w:spacing w:lineRule="auto" w:line="240" w:before="0" w:after="240"/>
        <w:ind w:left="0" w:right="0" w:hanging="720"/>
        <w:jc w:val="both"/>
        <w:rPr/>
      </w:pPr>
      <w:r>
        <w:rPr>
          <w:rFonts w:ascii="Times New Roman;serif" w:hAnsi="Times New Roman;serif"/>
          <w:b w:val="false"/>
          <w:color w:val="000000"/>
          <w:sz w:val="24"/>
        </w:rPr>
        <w:t>12.</w:t>
      </w:r>
      <w:r>
        <w:rPr>
          <w:rFonts w:ascii="Times New Roman;serif" w:hAnsi="Times New Roman;serif"/>
          <w:b/>
          <w:color w:val="000000"/>
          <w:sz w:val="24"/>
        </w:rPr>
        <w:t>Necessary Acts</w:t>
      </w:r>
      <w:r>
        <w:rPr>
          <w:rFonts w:ascii="Times New Roman;serif" w:hAnsi="Times New Roman;serif"/>
          <w:b w:val="false"/>
          <w:color w:val="000000"/>
          <w:sz w:val="24"/>
        </w:rPr>
        <w:t>. The Participant hereby agrees to perform all acts, and to execute and deliver any documents that may be reasonably necessary to carry out the provisions of this Restricted Stock Unit Agreement, including but not limited to all acts and documents related to compliance with federal and/or state securities and/or tax laws.</w:t>
      </w:r>
    </w:p>
    <w:p>
      <w:pPr>
        <w:pStyle w:val="TextBody"/>
        <w:bidi w:val="0"/>
        <w:spacing w:lineRule="auto" w:line="240" w:before="0" w:after="240"/>
        <w:ind w:left="0" w:right="0" w:hanging="720"/>
        <w:jc w:val="both"/>
        <w:rPr/>
      </w:pPr>
      <w:r>
        <w:rPr>
          <w:rFonts w:ascii="Times New Roman;serif" w:hAnsi="Times New Roman;serif"/>
          <w:b w:val="false"/>
          <w:color w:val="000000"/>
          <w:sz w:val="24"/>
        </w:rPr>
        <w:t>13.</w:t>
      </w:r>
      <w:r>
        <w:rPr>
          <w:rFonts w:ascii="Times New Roman;serif" w:hAnsi="Times New Roman;serif"/>
          <w:b/>
          <w:color w:val="000000"/>
          <w:sz w:val="24"/>
        </w:rPr>
        <w:t>Severability</w:t>
      </w:r>
      <w:r>
        <w:rPr>
          <w:rFonts w:ascii="Times New Roman;serif" w:hAnsi="Times New Roman;serif"/>
          <w:b w:val="false"/>
          <w:color w:val="000000"/>
          <w:sz w:val="24"/>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Restricted Stock Unit Agreement. Moreover, if one or more of the provisions contained in this Restricted Stock Unit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14.</w:t>
      </w:r>
      <w:r>
        <w:rPr>
          <w:rFonts w:ascii="Times New Roman;serif" w:hAnsi="Times New Roman;serif"/>
          <w:b/>
          <w:color w:val="000000"/>
          <w:sz w:val="24"/>
        </w:rPr>
        <w:t>Entire Agreement</w:t>
      </w:r>
      <w:r>
        <w:rPr>
          <w:rFonts w:ascii="Times New Roman;serif" w:hAnsi="Times New Roman;serif"/>
          <w:b w:val="false"/>
          <w:color w:val="000000"/>
          <w:sz w:val="24"/>
        </w:rPr>
        <w:t>. This Restricted Stock Unit Agreement and the Plan contain the entire agreement and understanding among the parties as to the subject matter hereof, and supersede any other agreements or representations, oral or otherwise, express or implied, with respect to the subject matter 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15.</w:t>
      </w:r>
      <w:r>
        <w:rPr>
          <w:rFonts w:ascii="Times New Roman;serif" w:hAnsi="Times New Roman;serif"/>
          <w:b/>
          <w:color w:val="000000"/>
          <w:sz w:val="24"/>
        </w:rPr>
        <w:t>Headings</w:t>
      </w:r>
      <w:r>
        <w:rPr>
          <w:rFonts w:ascii="Times New Roman;serif" w:hAnsi="Times New Roman;serif"/>
          <w:b w:val="false"/>
          <w:color w:val="000000"/>
          <w:sz w:val="24"/>
        </w:rPr>
        <w:t>. Headings are used solely for the convenience of the parties and shall not be deemed to be a limitation upon or descriptive of the contents of any such Section.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16.</w:t>
      </w:r>
      <w:r>
        <w:rPr>
          <w:rFonts w:ascii="Times New Roman;serif" w:hAnsi="Times New Roman;serif"/>
          <w:b/>
          <w:color w:val="000000"/>
          <w:sz w:val="24"/>
        </w:rPr>
        <w:t>Counterparts; Electronic Signature</w:t>
      </w:r>
      <w:r>
        <w:rPr>
          <w:rFonts w:ascii="Times New Roman;serif" w:hAnsi="Times New Roman;serif"/>
          <w:b w:val="false"/>
          <w:color w:val="000000"/>
          <w:sz w:val="24"/>
        </w:rPr>
        <w:t>. This Restricted Stock Unit Agreement may be executed in any number of counterparts, each of which shall be deemed an original and all of which together shall be deemed one and the same instrument. The Participant’s electronic signature of this Restricted Stock Unit Agreement shall have the same validity and effect as a signature affixed by the Participant’s hand.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17.</w:t>
      </w:r>
      <w:r>
        <w:rPr>
          <w:rFonts w:ascii="Times New Roman;serif" w:hAnsi="Times New Roman;serif"/>
          <w:b/>
          <w:color w:val="000000"/>
          <w:sz w:val="24"/>
        </w:rPr>
        <w:t>Amendment</w:t>
      </w:r>
      <w:r>
        <w:rPr>
          <w:rFonts w:ascii="Times New Roman;serif" w:hAnsi="Times New Roman;serif"/>
          <w:b w:val="false"/>
          <w:color w:val="000000"/>
          <w:sz w:val="24"/>
        </w:rPr>
        <w:t>. This Restricted Stock Unit Agreement, together with the Plan, may be amended unilaterally by the Company to the extent permitted under the Plan, or by a written instrument signed by all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4"/>
        </w:rPr>
        <w:t>18.</w:t>
      </w:r>
      <w:r>
        <w:rPr>
          <w:rFonts w:ascii="Times New Roman;serif" w:hAnsi="Times New Roman;serif"/>
          <w:b/>
          <w:color w:val="000000"/>
          <w:sz w:val="24"/>
        </w:rPr>
        <w:t>Set-Off</w:t>
      </w:r>
      <w:r>
        <w:rPr>
          <w:rFonts w:ascii="Times New Roman;serif" w:hAnsi="Times New Roman;serif"/>
          <w:b w:val="false"/>
          <w:color w:val="000000"/>
          <w:sz w:val="24"/>
        </w:rPr>
        <w:t xml:space="preserve">. The Participant hereby acknowledges and agrees, without limiting the rights of the Company or any Affiliate thereof otherwise available at law or in equity, that, to the extent permitted by law, any amount due to the Participant under this Restricted Stock Unit Agreement may be reduced by, and set-off against, any or all amounts or other consideration payable by the Participant to the Company or any of its Affiliates under any other agreement or arrangement between the Participant and the Company or any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set-off does not result in a penalty under Section 409A of the Internal Revenue Code of 1986, as amended, and the regulations thereunder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19.</w:t>
      </w:r>
      <w:r>
        <w:rPr>
          <w:rFonts w:ascii="Times New Roman;serif" w:hAnsi="Times New Roman;serif"/>
          <w:b/>
          <w:color w:val="000000"/>
          <w:sz w:val="24"/>
        </w:rPr>
        <w:t>No Limitation on Rights of the Company</w:t>
      </w:r>
      <w:r>
        <w:rPr>
          <w:rFonts w:ascii="Times New Roman;serif" w:hAnsi="Times New Roman;serif"/>
          <w:b w:val="false"/>
          <w:color w:val="000000"/>
          <w:sz w:val="24"/>
        </w:rPr>
        <w:t>. The grant of the Restricted Stock Units does not and will not in any way affect the right or power of the Company to make adjustments, reclassifications or changes in its capital or business structure, or to merge, consolidate, dissolve, liquidate, sell or transfer all or any part of its business or assets.</w:t>
      </w:r>
    </w:p>
    <w:p>
      <w:pPr>
        <w:pStyle w:val="TextBody"/>
        <w:bidi w:val="0"/>
        <w:spacing w:lineRule="auto" w:line="240" w:before="0" w:after="240"/>
        <w:ind w:left="0" w:right="0" w:hanging="720"/>
        <w:jc w:val="both"/>
        <w:rPr/>
      </w:pPr>
      <w:r>
        <w:rPr>
          <w:rFonts w:ascii="Times New Roman;serif" w:hAnsi="Times New Roman;serif"/>
          <w:b w:val="false"/>
          <w:color w:val="000000"/>
          <w:sz w:val="24"/>
        </w:rPr>
        <w:t>20.</w:t>
      </w:r>
      <w:r>
        <w:rPr>
          <w:rFonts w:ascii="Times New Roman;serif" w:hAnsi="Times New Roman;serif"/>
          <w:b/>
          <w:color w:val="000000"/>
          <w:sz w:val="24"/>
        </w:rPr>
        <w:t>Plan and this Restricted Stock Unit Agreement Not a Contract of Employment or Service</w:t>
      </w:r>
      <w:r>
        <w:rPr>
          <w:rFonts w:ascii="Times New Roman;serif" w:hAnsi="Times New Roman;serif"/>
          <w:b w:val="false"/>
          <w:color w:val="000000"/>
          <w:sz w:val="24"/>
        </w:rPr>
        <w:t>. Neither the Plan nor this Restricted Stock Unit Agreement are a contract of employment or service, and no terms of the Participant’s employment or service will be affected in any way by the Plan, this Restricted Stock Unit Agreement or related instruments, except to the extent specifically expressed therein. Neither the Plan nor this Restricted Stock Unit Agreement will be construed as conferring any legal rights on the Participant to continue to serve as a Board member or to be employed or remain in service with the Company and its Affiliates, nor will it interfere with any right of the Company or any of its Affiliates to discharge the Participant or to deal with the Participant regardless of the existence of the Plan, this Restricted Stock Unit Agreement or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21.</w:t>
      </w:r>
      <w:r>
        <w:rPr>
          <w:rFonts w:ascii="Times New Roman;serif" w:hAnsi="Times New Roman;serif"/>
          <w:b/>
          <w:color w:val="000000"/>
          <w:sz w:val="24"/>
        </w:rPr>
        <w:t>Continued Effect of Award Agreement</w:t>
      </w:r>
      <w:r>
        <w:rPr>
          <w:rFonts w:ascii="Times New Roman;serif" w:hAnsi="Times New Roman;serif"/>
          <w:b w:val="false"/>
          <w:color w:val="000000"/>
          <w:sz w:val="24"/>
        </w:rPr>
        <w:t>. To the extent that the Plan or this Restricted Stock Unit Agreement contains provisions that are intended to have effect after the date(s) as of which the Participant’s rights in respect to the Restricted Stock Unit Agreement have become vested (including, but not limited to, following the date of the Participant’s termination of Board membership), this Restricted Stock Unit Agreement and any Shares issued in respect of such Restricted Stock Unit Agreement shall continue to be subject to the terms of the Plan and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22.</w:t>
      </w:r>
      <w:r>
        <w:rPr>
          <w:rFonts w:ascii="Times New Roman;serif" w:hAnsi="Times New Roman;serif"/>
          <w:b/>
          <w:color w:val="000000"/>
          <w:sz w:val="24"/>
        </w:rPr>
        <w:t>Securities Law Requirements</w:t>
      </w:r>
      <w:r>
        <w:rPr>
          <w:rFonts w:ascii="Times New Roman;serif" w:hAnsi="Times New Roman;serif"/>
          <w:b w:val="false"/>
          <w:color w:val="000000"/>
          <w:sz w:val="24"/>
        </w:rPr>
        <w:t>. If at any time the Committee determines that issuing Shares would violate applicable securities laws, the Company will not be required to issue such Shares. The Committee may declare any provision of this Restricted Stock Unit Agreement or action of its own null and void, if it determines the provision or action fails to comply with the short-swing trading rules. As a condition to issuance, the Company may require the Participant to make written representations it deems necessary or desirable to comply with applicable securities laws. In addition to the transfer restrictions and limitations applicable hereunder, no Person who acquires Shares under this Restricted Stock Unit Agreement may sell the Shares, unless they make the offer and sale pursuant to an effective registration statement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which is current and includes the Shares to be sold, or an exemption from the registration requirements of the Securities Act.</w:t>
      </w:r>
    </w:p>
    <w:p>
      <w:pPr>
        <w:pStyle w:val="TextBody"/>
        <w:bidi w:val="0"/>
        <w:spacing w:lineRule="auto" w:line="240" w:before="0" w:after="240"/>
        <w:ind w:left="0" w:right="0" w:hanging="720"/>
        <w:jc w:val="both"/>
        <w:rPr/>
      </w:pPr>
      <w:r>
        <w:rPr>
          <w:rFonts w:ascii="Times New Roman;serif" w:hAnsi="Times New Roman;serif"/>
          <w:b w:val="false"/>
          <w:color w:val="000000"/>
          <w:sz w:val="24"/>
        </w:rPr>
        <w:t>23.</w:t>
      </w:r>
      <w:r>
        <w:rPr>
          <w:rFonts w:ascii="Times New Roman;serif" w:hAnsi="Times New Roman;serif"/>
          <w:b/>
          <w:color w:val="000000"/>
          <w:sz w:val="24"/>
        </w:rPr>
        <w:t>Notice</w:t>
      </w:r>
      <w:r>
        <w:rPr>
          <w:rFonts w:ascii="Times New Roman;serif" w:hAnsi="Times New Roman;serif"/>
          <w:b w:val="false"/>
          <w:color w:val="000000"/>
          <w:sz w:val="24"/>
        </w:rPr>
        <w:t xml:space="preserve">. Any notice or other communication required or permitted under this Restricted Stock Unit Agreement must be in writing and delivered personally, sent by certified,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registered or express mail, or sent by overnight courier, at the sender’s expense. Notice will be deemed given when delivered personally or, if mailed, three (3) days after the date of deposit in the United States mail or, if sent by overnight courier, on the regular business day following the date sent. Notice to the Company should be sent to Krispy Kreme, Inc., 2116 Hawkins Street, Suite 101, Charlotte, NC 28203, Attn: Chief Legal Officer, or at such other address as the Company may hereafter designate in writing. Notice to the Participant should be sent to the address on file with the Company. </w:t>
      </w:r>
    </w:p>
    <w:p>
      <w:pPr>
        <w:pStyle w:val="TextBody"/>
        <w:bidi w:val="0"/>
        <w:spacing w:lineRule="auto" w:line="240" w:before="0" w:after="240"/>
        <w:ind w:left="0" w:right="0" w:hanging="720"/>
        <w:jc w:val="both"/>
        <w:rPr/>
      </w:pPr>
      <w:r>
        <w:rPr>
          <w:rFonts w:ascii="Times New Roman;serif" w:hAnsi="Times New Roman;serif"/>
          <w:b w:val="false"/>
          <w:color w:val="000000"/>
          <w:sz w:val="24"/>
        </w:rPr>
        <w:t>24.</w:t>
      </w:r>
      <w:r>
        <w:rPr>
          <w:rFonts w:ascii="Times New Roman;serif" w:hAnsi="Times New Roman;serif"/>
          <w:b/>
          <w:color w:val="000000"/>
          <w:sz w:val="24"/>
        </w:rPr>
        <w:t>Plan Document Controls</w:t>
      </w:r>
      <w:r>
        <w:rPr>
          <w:rFonts w:ascii="Times New Roman;serif" w:hAnsi="Times New Roman;serif"/>
          <w:b w:val="false"/>
          <w:color w:val="000000"/>
          <w:sz w:val="24"/>
        </w:rPr>
        <w:t>. The rights granted under this Restricted Stock Unit Agreement are in all respects subject to the terms of the Plan to the same extent and with the same effect as if set forth fully in this Restricted Stock Unit Agreement. If the terms of this Restricted Stock Unit Agreement conflict with the terms of the Plan, the Plan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4"/>
        </w:rPr>
        <w:t>25.</w:t>
      </w:r>
      <w:r>
        <w:rPr>
          <w:rFonts w:ascii="Times New Roman;serif" w:hAnsi="Times New Roman;serif"/>
          <w:b/>
          <w:color w:val="000000"/>
          <w:sz w:val="24"/>
        </w:rPr>
        <w:t>Change in Control; Code Section 280G</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Golden Parachutes</w:t>
      </w:r>
      <w:r>
        <w:rPr>
          <w:rFonts w:ascii="Times New Roman;serif" w:hAnsi="Times New Roman;serif"/>
          <w:b w:val="false"/>
          <w:color w:val="000000"/>
          <w:sz w:val="24"/>
        </w:rPr>
        <w:t>. If, upon a Change in Control, any of the payments and benefits provided under the Plan, any Award Agreement or any other agreement or arrangement between the Company or any of its Affiliates and the Participant (collectively, the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would constitute a “parachute payment” within the meaning of Section 280G of the Code (a “</w:t>
      </w:r>
      <w:r>
        <w:rPr>
          <w:rFonts w:ascii="Times New Roman;serif" w:hAnsi="Times New Roman;serif"/>
          <w:b/>
          <w:color w:val="000000"/>
          <w:sz w:val="24"/>
        </w:rPr>
        <w:t>Parachute Payment</w:t>
      </w:r>
      <w:r>
        <w:rPr>
          <w:color w:val="000000"/>
        </w:rPr>
        <w:t>”</w:t>
      </w:r>
      <w:r>
        <w:rPr>
          <w:rFonts w:ascii="Times New Roman;serif" w:hAnsi="Times New Roman;serif"/>
          <w:b w:val="false"/>
          <w:color w:val="000000"/>
          <w:sz w:val="24"/>
        </w:rPr>
        <w:t>) and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xml:space="preserve">), then the amount of payments to be received by the Participant pursuant to this Agreement shall be reduced to the maximum amount that will cause the total amounts of the payments not to be subject to the Excise Tax, but only if the amount of such payments, after such reduction and after payment of all applicable taxes on the reduced amount, is equal to or greater than the amount of such payments the Participant would otherwise be entitled to retain without such reduction after the payment of all applicable taxes, including the Excise Tax. The accounting firm engaged by the Company for general audit purposes shall perform any calculations necessary in connection with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Any good faith determinations of the accounting firm made hereunder shall be final, binding, and conclusive upon the Participant and the Company. Any reduction in the amount of compensation or benefits effected pursuant to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shall first come, in order and, in each case, solely to the extent necessary, from any cash severance benefits payable to the Participant, then from any other payments that are treated in their entirety as Parachute Payments and then from any other Parachute Payments payable to the Participant with the later possible payment or vesting date being reduced or eliminated before a payment or benefit with an earlier payment or vesting date; provided that if the foregoing order of reduction or elimination would violate Section 409A, then the reduction shall be made pro rata among the payments or benefits otherwise due or payable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Deferred Compensation Units</w:t>
      </w:r>
      <w:r>
        <w:rPr>
          <w:rFonts w:ascii="Times New Roman;serif" w:hAnsi="Times New Roman;serif"/>
          <w:b w:val="false"/>
          <w:color w:val="000000"/>
          <w:sz w:val="24"/>
        </w:rPr>
        <w:t>. Notwithstanding anything to the contrary herein, if any Restricted Stock Units hereunder are considered nonqualified deferred compensation under Section 409A (“</w:t>
      </w:r>
      <w:r>
        <w:rPr>
          <w:rFonts w:ascii="Times New Roman;serif" w:hAnsi="Times New Roman;serif"/>
          <w:b/>
          <w:color w:val="000000"/>
          <w:sz w:val="24"/>
        </w:rPr>
        <w:t>Deferred Compensation Units</w:t>
      </w:r>
      <w:r>
        <w:rPr>
          <w:color w:val="000000"/>
        </w:rPr>
        <w:t>”</w:t>
      </w:r>
      <w:r>
        <w:rPr>
          <w:rFonts w:ascii="Times New Roman;serif" w:hAnsi="Times New Roman;serif"/>
          <w:b w:val="false"/>
          <w:color w:val="000000"/>
          <w:sz w:val="24"/>
        </w:rPr>
        <w:t>), to the extent that any such Deferred Compensation Units become vested in accordance with the terms of the Plan or this Restricted Stock Unit Agreement, such Deferred Compensation Units shall be payable at the time that they would otherwise have been payable without regard to the occurrence of a Change in Control solely to the extent required to avoid the imposition of additional taxes and penalties under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26.</w:t>
      </w:r>
      <w:r>
        <w:rPr>
          <w:rFonts w:ascii="Times New Roman;serif" w:hAnsi="Times New Roman;serif"/>
          <w:b/>
          <w:color w:val="000000"/>
          <w:sz w:val="24"/>
        </w:rPr>
        <w:t>Section 409A; Reformation</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intent of the parties is that the payments and benefits under this Restricted Stock Unit Agreement comply with Section 409A, to the extent subject thereto, and accordingly, to the maximum extent permitted, this Restricted Stock Unit Agreement shall be interpreted to be in compliance therewith or exempt therefrom.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Restricted Stock Unit Agreement or any other arrangement between the Participant and the Company during the six (6) month period immediately following the Participant’s separation from service shall instead be paid on the first business day after the date that is six (6) months following the Participant’s separation from service (or, if earlier, the Participant’s date of death). All payments under this Restricted Stock Unit Agreement shall be considered separate payments for purposes of Section 409A. The Company makes no representation that any or all of the payments described in this Restricted Stock Unit Agreement will be exempt from or comply with Section 409A and makes no undertaking to preclude Section 409A from applying to any such payment. The Participant shall be solely responsible for the payment of any taxes and penalties incurred under Section 409A.</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(b)If any provision of this Restricted Stock Unit Agreement or the Plan is invalid or unenforceable, in whole or in part, or as applied to any circumstance, under the laws of any jurisdiction that may govern for such purpose, or if any provision of this Restricted Stock Unit Agreement or the Plan needs to be interpreted to comply with the requirements of Section 409A, then such provision shall be deemed modified or restricted, or so interpreted, to the extent and in the manner necessary to render the same valid and enforceable, or to the extent and in the manner necessary to be interpreted in compliance with such requirements of the Code, either generally or as applied to such circumstance, or shall be deemed excised from this Restricted Stock Unit Agreement or the Plan, as the case may require, and this Restricted Stock Unit Agreement or the Plan shall be construed and enforced to the maximum extent permitted by law as if such provision had been originally incorporated herein as so modified or restricted, or as if such provision had not been originally incorporated herein, as the case may be.</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ELECTRONIC ACCEPTANCE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and the Company agree that this Award is granted and governed by the terms and conditions of the Plan and this 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agrees that in lieu of receiving documents in paper format, the Participant accepts the electronic delivery of any documents by the Company, or any third party involved in administering the Plan that the Company may designate, may deliver in connection with this Award (including the Plan, this Restricted Stock Unit Agreement, account statements, or other communications or information) whether via the Company’s intranet or the internet site of such third party or via email or such other means of electronic delivery specified by the Company. The Participant hereby consents to receive such documents by electronic delivery and agrees to participate in the Plan through an online or electronic system established and maintained by the Company or any third party involved in administering the Plan that the Company may designate.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i/>
          <w:color w:val="000000"/>
          <w:sz w:val="24"/>
        </w:rPr>
      </w:pPr>
      <w:r>
        <w:rPr>
          <w:rFonts w:ascii="Times New Roman;serif" w:hAnsi="Times New Roman;serif"/>
          <w:b w:val="false"/>
          <w:i/>
          <w:color w:val="000000"/>
          <w:sz w:val="24"/>
        </w:rPr>
        <w:t>Employee RSU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KRISPY KREME,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OMNIBUS INCENTIVE PLAN</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240"/>
        <w:ind w:left="0" w:right="0" w:firstLine="720"/>
        <w:jc w:val="both"/>
        <w:rPr/>
      </w:pPr>
      <w:r>
        <w:rPr>
          <w:rFonts w:ascii="Times New Roman;serif" w:hAnsi="Times New Roman;serif"/>
          <w:b/>
          <w:color w:val="000000"/>
          <w:sz w:val="24"/>
        </w:rPr>
        <w:t>THIS RESTRICTED STOCK UNIT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Restricted Stock Unit Agreement</w:t>
      </w:r>
      <w:r>
        <w:rPr>
          <w:color w:val="000000"/>
        </w:rPr>
        <w:t>”</w:t>
      </w:r>
      <w:r>
        <w:rPr>
          <w:rFonts w:ascii="Times New Roman;serif" w:hAnsi="Times New Roman;serif"/>
          <w:b w:val="false"/>
          <w:color w:val="000000"/>
          <w:sz w:val="24"/>
        </w:rPr>
        <w:t>), dated as of {Grant Date} (the “</w:t>
      </w:r>
      <w:r>
        <w:rPr>
          <w:rFonts w:ascii="Times New Roman;serif" w:hAnsi="Times New Roman;serif"/>
          <w:b/>
          <w:color w:val="000000"/>
          <w:sz w:val="24"/>
        </w:rPr>
        <w:t>Grant Date</w:t>
      </w:r>
      <w:r>
        <w:rPr>
          <w:color w:val="000000"/>
        </w:rPr>
        <w:t>”</w:t>
      </w:r>
      <w:r>
        <w:rPr>
          <w:rFonts w:ascii="Times New Roman;serif" w:hAnsi="Times New Roman;serif"/>
          <w:b w:val="false"/>
          <w:color w:val="000000"/>
          <w:sz w:val="24"/>
        </w:rPr>
        <w:t xml:space="preserve">), is made by and between </w:t>
      </w:r>
      <w:r>
        <w:rPr>
          <w:rFonts w:ascii="Times New Roman;serif" w:hAnsi="Times New Roman;serif"/>
          <w:b/>
          <w:color w:val="000000"/>
          <w:sz w:val="24"/>
        </w:rPr>
        <w:t>KRISPY KREME, INC.</w:t>
      </w:r>
      <w:r>
        <w:rPr>
          <w:rFonts w:ascii="Times New Roman;serif" w:hAnsi="Times New Roman;serif"/>
          <w:b w:val="false"/>
          <w:color w:val="000000"/>
          <w:sz w:val="24"/>
        </w:rPr>
        <w:t>,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{Participant Name} (the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Capitalized terms used but not defined herein shall have the respective meanings ascribed to them in the Krispy Kreme, Inc. 2021 Omnibus Incentive Plan (as may be amended and/or restated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Restricted Stock Units Grant</w:t>
      </w:r>
      <w:r>
        <w:rPr>
          <w:rFonts w:ascii="Times New Roman;serif" w:hAnsi="Times New Roman;serif"/>
          <w:b w:val="false"/>
          <w:color w:val="000000"/>
          <w:sz w:val="24"/>
        </w:rPr>
        <w:t>. In accordance with the terms of the Plan and subject to this Restricted Stock Unit Agreement, as of the Grant Date (to the extent applicable, as amended as such terms apply to a Participant resident in the jurisdictions listed in the Schedule, as set out in the applicable terms of the Schedule), the Participant is hereby granted «RSUs» Restricted Stock Units. The Restricted Stock Units, and any Shares acquired upon settlement thereof, are subject to the following terms and conditions and to the provisions of the Plan, the terms of which are incorporated by reference herein.</w:t>
      </w:r>
    </w:p>
    <w:p>
      <w:pPr>
        <w:pStyle w:val="TextBody"/>
        <w:bidi w:val="0"/>
        <w:spacing w:lineRule="auto" w:line="240"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{Vesting Period. Please refer to Appendix: Vesting Schedule}</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The Restricted Stock Units awarded hereby will vest on the time schedule set forth on the </w:t>
      </w:r>
      <w:r>
        <w:rPr>
          <w:rFonts w:ascii="Times New Roman;serif" w:hAnsi="Times New Roman;serif"/>
          <w:b/>
          <w:color w:val="000000"/>
          <w:sz w:val="24"/>
          <w:u w:val="single"/>
        </w:rPr>
        <w:t>Appendix</w:t>
      </w:r>
      <w:r>
        <w:rPr>
          <w:rFonts w:ascii="Times New Roman;serif" w:hAnsi="Times New Roman;serif"/>
          <w:b w:val="false"/>
          <w:color w:val="000000"/>
          <w:sz w:val="24"/>
        </w:rPr>
        <w:t xml:space="preserve">, provided that the Participant has remained in continuous employment with the Company and its Affiliates at all times from the Grant Date through the vesting date set forth on the </w:t>
      </w:r>
      <w:r>
        <w:rPr>
          <w:rFonts w:ascii="Times New Roman;serif" w:hAnsi="Times New Roman;serif"/>
          <w:b/>
          <w:color w:val="000000"/>
          <w:sz w:val="24"/>
          <w:u w:val="single"/>
        </w:rPr>
        <w:t>Appendix</w:t>
      </w:r>
      <w:r>
        <w:rPr>
          <w:rFonts w:ascii="Times New Roman;serif" w:hAnsi="Times New Roman;serif"/>
          <w:b w:val="false"/>
          <w:color w:val="000000"/>
          <w:sz w:val="24"/>
        </w:rPr>
        <w:t>. For purposes of this Restricted Stock Unit Agreement, “</w:t>
      </w:r>
      <w:r>
        <w:rPr>
          <w:rFonts w:ascii="Times New Roman;serif" w:hAnsi="Times New Roman;serif"/>
          <w:b/>
          <w:color w:val="000000"/>
          <w:sz w:val="24"/>
        </w:rPr>
        <w:t>Vesting Commencement Date</w:t>
      </w:r>
      <w:r>
        <w:rPr>
          <w:color w:val="000000"/>
        </w:rPr>
        <w:t xml:space="preserve">” </w:t>
      </w:r>
      <w:r>
        <w:rPr>
          <w:rFonts w:ascii="Times New Roman;serif" w:hAnsi="Times New Roman;serif"/>
          <w:b w:val="false"/>
          <w:color w:val="000000"/>
          <w:sz w:val="24"/>
        </w:rPr>
        <w:t>means {Grant Custom 2}.</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xml:space="preserve">. If, before the Restricted Stock Units have otherwise become fully vested in accordance with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Participant’s employment with the Company and its Affiliates terminates by reason of death or Disability, then the Restricted Stock Units shall immediately vest in full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Retirement</w:t>
      </w:r>
      <w:r>
        <w:rPr>
          <w:rFonts w:ascii="Times New Roman;serif" w:hAnsi="Times New Roman;serif"/>
          <w:b w:val="false"/>
          <w:color w:val="000000"/>
          <w:sz w:val="24"/>
        </w:rPr>
        <w:t xml:space="preserve">. If, before the Restricted Stock Units have otherwise become fully vested in accordance with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Participant’s employment with the Company and its Affiliates terminates by reason of Retirement, then any outstanding Restricted Stock Units shall (1) become vested with respect to the Applicable Fraction of such Restricted Stock Units (for the avoidance of doubt, excluding any previously vested Restricted Stock Units), and (2) be immediately forfeited and canceled with respect to the remaining Restricted Stock Units. For purposes of applying the Applicable Fraction to the Restricted Stock Units under this </w:t>
      </w:r>
      <w:r>
        <w:rPr>
          <w:rFonts w:ascii="Times New Roman;serif" w:hAnsi="Times New Roman;serif"/>
          <w:b w:val="false"/>
          <w:color w:val="000000"/>
          <w:sz w:val="24"/>
          <w:u w:val="single"/>
        </w:rPr>
        <w:t>Section 2(c)</w:t>
      </w:r>
      <w:r>
        <w:rPr>
          <w:rFonts w:ascii="Times New Roman;serif" w:hAnsi="Times New Roman;serif"/>
          <w:b w:val="false"/>
          <w:color w:val="000000"/>
          <w:sz w:val="24"/>
        </w:rPr>
        <w:t xml:space="preserve">, the numerator shall be the number of days elapsed between the Vesting Commencement Date and the date of the Participant’s termination due to Retirement, and the denominator shall be the number of days between the Vesting Commencement Date and the final vesting date set forth on the </w:t>
      </w:r>
      <w:r>
        <w:rPr>
          <w:rFonts w:ascii="Times New Roman;serif" w:hAnsi="Times New Roman;serif"/>
          <w:b/>
          <w:color w:val="000000"/>
          <w:sz w:val="24"/>
          <w:u w:val="single"/>
        </w:rPr>
        <w:t>Appendix</w:t>
      </w:r>
      <w:r>
        <w:rPr>
          <w:rFonts w:ascii="Times New Roman;serif" w:hAnsi="Times New Roman;serif"/>
          <w:b w:val="false"/>
          <w:color w:val="000000"/>
          <w:sz w:val="24"/>
        </w:rPr>
        <w:t>, and in no event shall the Applicable Fraction be greater than one (1). For purposes of this Restricted Stock Unit Agreement, “</w:t>
      </w:r>
      <w:r>
        <w:rPr>
          <w:rFonts w:ascii="Times New Roman;serif" w:hAnsi="Times New Roman;serif"/>
          <w:b/>
          <w:color w:val="000000"/>
          <w:sz w:val="24"/>
        </w:rPr>
        <w:t>Retirement</w:t>
      </w:r>
      <w:r>
        <w:rPr>
          <w:color w:val="000000"/>
        </w:rPr>
        <w:t xml:space="preserve">” </w:t>
      </w:r>
      <w:r>
        <w:rPr>
          <w:rFonts w:ascii="Times New Roman;serif" w:hAnsi="Times New Roman;serif"/>
          <w:b w:val="false"/>
          <w:color w:val="000000"/>
          <w:sz w:val="24"/>
        </w:rPr>
        <w:t xml:space="preserve">means the Participant’s termination of employment (other than a termination for Cause or due to death or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Disability) after attaining age sixty (60) and having completed at least five (5) years of continuous employment with the Company or any of its Affiliates.</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2(e)</w:t>
      </w:r>
      <w:r>
        <w:rPr>
          <w:rFonts w:ascii="Times New Roman;serif" w:hAnsi="Times New Roman;serif"/>
          <w:b w:val="false"/>
          <w:color w:val="000000"/>
          <w:sz w:val="24"/>
        </w:rPr>
        <w:t>, if the Participant’s employment with the Company and its Affiliates terminates for any reason other than by reason of the Participant’s death, Disability, or Retirement (as defined herein), all Restricted Stock Units that are unvested as of the date of the Participant’s termination shall automatically terminate without consideration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Notwithstanding anything to the contrary herein, in the event of a Change in Control, the Restricted Stock Units shall be treated in accordance with Section 13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Settlement of Restricted Stock Units</w:t>
      </w:r>
      <w:r>
        <w:rPr>
          <w:rFonts w:ascii="Times New Roman;serif" w:hAnsi="Times New Roman;serif"/>
          <w:b w:val="false"/>
          <w:color w:val="000000"/>
          <w:sz w:val="24"/>
        </w:rPr>
        <w:t>. The Shares related to any vested Restricted Stock Units shall be delivered promptly (and in all events within 60 days) following the date such Restricted Stock Units have become vested.</w: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Rights as a Stockholder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Participant shall not have any rights of a stockholder as a result of receiving Restricted Stock Units under this Restricted Stock Unit Agreement, including, but not limited to, any right to vote the Shares to be issued hereunder or any right to dividends or dividend equivalents, unless and until (and only to the extent) the Restricted Stock Units have vested and, thereafter, the Shares have been distributed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Withholding Taxes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(a)As a condition to acceptance of any Shares in settlement of the Restricted Stock Units, the Participant authorizes withholding from payroll and any other amounts payable to such Participant, and otherwise agrees to make adequate provision for any sums required to be withheld (or permitted to be withheld in a manner that will not cause adverse accounting consequences for the Company or an Affiliate) to satisfy any U.S. federal, state, local and/or foreign tax or social insurance contribution withholding obligations (the “</w:t>
      </w:r>
      <w:r>
        <w:rPr>
          <w:rFonts w:ascii="Times New Roman;serif" w:hAnsi="Times New Roman;serif"/>
          <w:b/>
          <w:color w:val="000000"/>
          <w:sz w:val="24"/>
        </w:rPr>
        <w:t>Required Tax Payments</w:t>
      </w:r>
      <w:r>
        <w:rPr>
          <w:color w:val="000000"/>
        </w:rPr>
        <w:t>”</w:t>
      </w:r>
      <w:r>
        <w:rPr>
          <w:rFonts w:ascii="Times New Roman;serif" w:hAnsi="Times New Roman;serif"/>
          <w:b w:val="false"/>
          <w:color w:val="000000"/>
          <w:sz w:val="24"/>
        </w:rPr>
        <w:t>) of the Company or an Affiliate, if any, that arise in connection with the Restricted Stock Units. If the Participant fails to advance the Required Tax Payments after request by the Company or an Affiliate, the Company or the relevant Affiliate may, in its discretion, deduct any Required Tax Payments from any amount then or thereafter payable by the Company or the relevant Affiliate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Non-Section 16 Participants</w:t>
      </w:r>
      <w:r>
        <w:rPr>
          <w:rFonts w:ascii="Times New Roman;serif" w:hAnsi="Times New Roman;serif"/>
          <w:b w:val="false"/>
          <w:color w:val="000000"/>
          <w:sz w:val="24"/>
        </w:rPr>
        <w:t>. To the extent a Participant is not subject to the reporting requirements under Section 16 of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such Participant’s default election to advance the Required Tax Payments with respect to the Restricted Stock Units is by a cash payment following the Participant’s sale of (or sale by a broker-dealer acceptable to the Company through which the Participant has sold) a number of Shares with respect to which the Required Tax Payments have arisen with a Fair Market Value determined as of the Tax Date equal to the Required Tax Payments (“</w:t>
      </w:r>
      <w:r>
        <w:rPr>
          <w:rFonts w:ascii="Times New Roman;serif" w:hAnsi="Times New Roman;serif"/>
          <w:b/>
          <w:color w:val="000000"/>
          <w:sz w:val="24"/>
        </w:rPr>
        <w:t>Sell to Cover</w:t>
      </w:r>
      <w:r>
        <w:rPr>
          <w:color w:val="000000"/>
        </w:rPr>
        <w:t>”</w:t>
      </w:r>
      <w:r>
        <w:rPr>
          <w:rFonts w:ascii="Times New Roman;serif" w:hAnsi="Times New Roman;serif"/>
          <w:b w:val="false"/>
          <w:color w:val="000000"/>
          <w:sz w:val="24"/>
        </w:rPr>
        <w:t xml:space="preserve">). The Participant may elect, subject to Administrator’s approval, to satisfy his or her obligation to advance the Required Tax Payments with respect to the Restricted Stock Units by any of the following means: (1) a cash payment to the Company pursuant to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hereof, (2) authorizing the Company to withhold from the Shares otherwise to be delivered to the Participant pursuant to the Restricted Stock Units, a number of whole Shares with a Fair Market Value,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determined as of the date the obligation to withhold or pay taxes first arises in connection with the Restricted Stock Units (the “</w:t>
      </w:r>
      <w:r>
        <w:rPr>
          <w:rFonts w:ascii="Times New Roman;serif" w:hAnsi="Times New Roman;serif"/>
          <w:b/>
          <w:color w:val="000000"/>
          <w:sz w:val="24"/>
        </w:rPr>
        <w:t>Tax Date</w:t>
      </w:r>
      <w:r>
        <w:rPr>
          <w:color w:val="000000"/>
        </w:rPr>
        <w:t>”</w:t>
      </w:r>
      <w:r>
        <w:rPr>
          <w:rFonts w:ascii="Times New Roman;serif" w:hAnsi="Times New Roman;serif"/>
          <w:b w:val="false"/>
          <w:color w:val="000000"/>
          <w:sz w:val="24"/>
        </w:rPr>
        <w:t>), equal to the Required Tax Payments (“</w:t>
      </w:r>
      <w:r>
        <w:rPr>
          <w:rFonts w:ascii="Times New Roman;serif" w:hAnsi="Times New Roman;serif"/>
          <w:b/>
          <w:color w:val="000000"/>
          <w:sz w:val="24"/>
        </w:rPr>
        <w:t>Net Withholding</w:t>
      </w:r>
      <w:r>
        <w:rPr>
          <w:color w:val="000000"/>
        </w:rPr>
        <w:t>”</w:t>
      </w:r>
      <w:r>
        <w:rPr>
          <w:rFonts w:ascii="Times New Roman;serif" w:hAnsi="Times New Roman;serif"/>
          <w:b w:val="false"/>
          <w:color w:val="000000"/>
          <w:sz w:val="24"/>
        </w:rPr>
        <w:t xml:space="preserve">), (3) Sell to Cover, or (4) any combination of (1), (2), and (3) above. Net Withholding will be performed with full Shares, and not fractional Shares. No certificate representing a Share shall be delivered until the Required Tax Payments have been satisfied in full. </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16 Participants</w:t>
      </w:r>
      <w:r>
        <w:rPr>
          <w:rFonts w:ascii="Times New Roman;serif" w:hAnsi="Times New Roman;serif"/>
          <w:b w:val="false"/>
          <w:color w:val="000000"/>
          <w:sz w:val="24"/>
        </w:rPr>
        <w:t xml:space="preserve">. To the extent a Participant is subject to the reporting requirements under Section 16 of the Exchange Act, then such Participant’s default election to advance the Required Tax Payments is by Net Withholding. The Participant may elect to satisfy his or her obligation to advance the Required Tax Payments with respect to the Restricted Stock Units by any of the following means: (1) a cash payment to the Company pursuant to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hereof, (2) Net Withholding, (3) Sell to Cover, or (4) any combination of (1), (2), and (3) above. Net Withholding will be performed with full Shares, and not fractional Shares. No certificate representing a Share shall be delivered until the Required Tax Payments have been satisfied in full. </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Transfers</w:t>
      </w:r>
      <w:r>
        <w:rPr>
          <w:rFonts w:ascii="Times New Roman;serif" w:hAnsi="Times New Roman;serif"/>
          <w:b w:val="false"/>
          <w:color w:val="000000"/>
          <w:sz w:val="24"/>
        </w:rPr>
        <w:t>. Restricted Stock Units may not be sold, transferred, pledged, assigned or otherwise alienated or hypothecated, other than by will or by the laws of descent and distribution.</w:t>
      </w:r>
    </w:p>
    <w:p>
      <w:pPr>
        <w:pStyle w:val="TextBody"/>
        <w:bidi w:val="0"/>
        <w:spacing w:lineRule="auto" w:line="240" w:before="0" w:after="240"/>
        <w:ind w:left="0" w:right="0" w:hanging="720"/>
        <w:jc w:val="both"/>
        <w:rPr/>
      </w:pPr>
      <w:r>
        <w:rPr>
          <w:rFonts w:ascii="Times New Roman;serif" w:hAnsi="Times New Roman;serif"/>
          <w:b w:val="false"/>
          <w:color w:val="000000"/>
          <w:sz w:val="24"/>
        </w:rPr>
        <w:t>7.</w:t>
      </w:r>
      <w:r>
        <w:rPr>
          <w:rFonts w:ascii="Times New Roman;serif" w:hAnsi="Times New Roman;serif"/>
          <w:b/>
          <w:color w:val="000000"/>
          <w:sz w:val="24"/>
        </w:rPr>
        <w:t>Governing Law</w:t>
      </w:r>
      <w:r>
        <w:rPr>
          <w:rFonts w:ascii="Times New Roman;serif" w:hAnsi="Times New Roman;serif"/>
          <w:b w:val="false"/>
          <w:color w:val="000000"/>
          <w:sz w:val="24"/>
        </w:rPr>
        <w:t>. This Restricted Stock Unit Agreement shall be governed by and construed in accordance with the laws of the State of Delaware, without giving effect to the principles of conflicts of law of such state.</w:t>
      </w:r>
    </w:p>
    <w:p>
      <w:pPr>
        <w:pStyle w:val="TextBody"/>
        <w:bidi w:val="0"/>
        <w:spacing w:lineRule="auto" w:line="240" w:before="0" w:after="24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rPr>
        <w:t>Agreement Binding on Successors</w:t>
      </w:r>
      <w:r>
        <w:rPr>
          <w:rFonts w:ascii="Times New Roman;serif" w:hAnsi="Times New Roman;serif"/>
          <w:b w:val="false"/>
          <w:color w:val="000000"/>
          <w:sz w:val="24"/>
        </w:rPr>
        <w:t>. The terms of this Restricted Stock Unit Agreement shall be binding upon the Participant and upon the Participant’s heirs, executors, administrators, personal representatives, transferees, assignees and successors in interest, and upon the Company and its successors and assignees, whether the existence of the successor results from a direct or indirect purchase of all or substantially all of the business of the Company, or a merger, consolidation or otherwise, subject to the terms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rPr>
        <w:t>No Assignment</w:t>
      </w:r>
      <w:r>
        <w:rPr>
          <w:rFonts w:ascii="Times New Roman;serif" w:hAnsi="Times New Roman;serif"/>
          <w:b w:val="false"/>
          <w:color w:val="000000"/>
          <w:sz w:val="24"/>
        </w:rPr>
        <w:t>. Notwithstanding anything to the contrary in this Restricted Stock Unit Agreement, neither this Restricted Stock Unit Agreement nor any rights granted herein shall be assignable by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color w:val="000000"/>
          <w:sz w:val="24"/>
        </w:rPr>
        <w:t>Nature of Grant</w:t>
      </w:r>
      <w:r>
        <w:rPr>
          <w:rFonts w:ascii="Times New Roman;serif" w:hAnsi="Times New Roman;serif"/>
          <w:b w:val="false"/>
          <w:color w:val="000000"/>
          <w:sz w:val="24"/>
        </w:rPr>
        <w:t>. This Restricted Stock Unit Agreement is intended to comply with the applicable laws of any country or jurisdiction where Restricted Stock Units are granted under the Plan, and all provisions hereof shall be construed in a manner to so comply. In accepting the Restricted Stock Units, the Participant acknowledges, understands and agrees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Plan is established voluntarily by the Company, is discretionary in nature, and may be amended, suspended or terminated by the Company at any time, to the extent permitted by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grant of the Restricted Stock Units is voluntary and occasional and does not create any contractual or other right to receive future grants of Awards, or benefits in lieu of Restricted Stock Units, even if Restricted Stock Units have been granted in the past;</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Awards or other grants, if any, will be at the sole discretion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(d)the Participant is voluntarily participating in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(e)the Restricted Stock Units and any Shares acquired under the Plan are not intended to replace any pension rights or compensation;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(f)the Restricted Stock Units and any Shares acquired under the Plan, and the income and value of same, are not part of the Participant’s employment conditions or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(g)the future value of the Shares underlying the Restricted Stock Units is unknown, indeterminable and cannot be predicted with certainty;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(h)the value of such Shares may increase or decrease in value;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(i)to the extent permitted by applicable law, no claim or entitlement to compensation or damages shall arise from the forfeiture of the Restricted Stock Units resulting from the termination of the Participant’s employment with the Company or an Affiliate (for any reason whatsoever, whether or not later found to be invalid or in breach of employment laws in the jurisdiction where the Participant is providing continuous employment or the terms of the Participant’s employment agreement, if any), and in consideration of the grant of the Restricted Stock Units to which the Participant is otherwise not entitled, the Participant irrevocably agrees never to institute any claim against the Company or an Affiliate, waive the Participant’s ability, if any, to bring any such claim, and release the Company or an Affiliate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(j)for purposes of the Restricted Stock Units, the Participant’s employment will be considered terminated as of the date the Participant is no longer actively providing services to the Company or an Affiliate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Restricted Stock Unit Agreement or determined by the Company, the Participant’s right to vest in the Restricted Stock Units will terminate as of such date and will not be extended by any notice period (e.g., the Participant’s period of employment would not include any contractual or statutory notice period or any period of “garden leave,” request for reinstatement or similar period mandated under employment laws in the jurisdiction where the Participant is employed or the terms of the Participant’s employment agreement, if 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(k)unless otherwise provided in the Plan or by the Company in its discretion, the Restricted Stock Units and the benefits evidenced by this Restricted Stock Unit Agreement do not create any entitlement to have the Restricted Stock Units or any such benefits transferred to, or assumed by, another company nor to be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exchanged, cashed out or substituted for, in connection with any corporate transaction affecting the Shares;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(l)the Participant acknowledges and agrees that neither the Company nor an Affiliate shall be liable for any foreign exchange rate fluctuation between the Participant’s local currency and the United States Dollar that may affect the value of the Restricted Stock Units or any amounts due to the Participant upon settlement of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11.</w:t>
      </w:r>
      <w:r>
        <w:rPr>
          <w:rFonts w:ascii="Times New Roman;serif" w:hAnsi="Times New Roman;serif"/>
          <w:b/>
          <w:i/>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The Participant hereby explicitly and unambiguously consents to the collection, use and transfer, in electronic or other form, of the Participant’s personal data as described in this Restricted Stock Unit Agreement and any other grant materials by and among, as applicable, the Company and any Affiliate for the exclusive purpose of implementing, administering and managing participation in the Plan. The Participant understands that the Company and any Affiliate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Awards or any other entitlement to Shares awarded, canceled, exercised, vested, unvested or outstanding in the Participant’s favor (“Data”), for the exclusive purpose of implementing, administering and managing the Plan. The Participant understands that Data will be transferred to a third party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and that the recipient’s country (e.g., the United States) may have different data privacy laws with a lower level of protection than the Participant’s country. The Participant understands that he or she may request a list with the names and addresses of any potential recipients of the Data by contacting his or her local human resources representative. The Participant authorizes the Company, and any other possible recipients who may assist the Company (presently or in the future) with implementing, administering and managing the Plan to receive, possess, use, retain and transfer the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the Participant’s continuous employment and career with the Company or an Affiliate will not be adversely affected; the only adverse consequence of refusing or withdrawing consent is that the Company would not be able to grant the Participant restricted stock units or other equity awards or administer or maintain such awards. Therefore, the Participant understands that refusing or withdrawing consent may affect his or her ability to participate in the Plan. For more information on the consequences of the Participant’s refusal to consent or withdrawal of consent, the Participant understands that he or she may contact his or her local human resources representative.</w:t>
      </w:r>
    </w:p>
    <w:p>
      <w:pPr>
        <w:pStyle w:val="TextBody"/>
        <w:bidi w:val="0"/>
        <w:spacing w:lineRule="auto" w:line="240" w:before="0" w:after="240"/>
        <w:ind w:left="0" w:right="0" w:hanging="720"/>
        <w:jc w:val="both"/>
        <w:rPr/>
      </w:pPr>
      <w:r>
        <w:rPr>
          <w:rFonts w:ascii="Times New Roman;serif" w:hAnsi="Times New Roman;serif"/>
          <w:b w:val="false"/>
          <w:color w:val="000000"/>
          <w:sz w:val="24"/>
        </w:rPr>
        <w:t>12.</w:t>
      </w:r>
      <w:r>
        <w:rPr>
          <w:rFonts w:ascii="Times New Roman;serif" w:hAnsi="Times New Roman;serif"/>
          <w:b/>
          <w:color w:val="000000"/>
          <w:sz w:val="24"/>
        </w:rPr>
        <w:t>Necessary Acts</w:t>
      </w:r>
      <w:r>
        <w:rPr>
          <w:rFonts w:ascii="Times New Roman;serif" w:hAnsi="Times New Roman;serif"/>
          <w:b w:val="false"/>
          <w:color w:val="000000"/>
          <w:sz w:val="24"/>
        </w:rPr>
        <w:t xml:space="preserve">. The Participant hereby agrees to perform all acts, and to execute and deliver any documents that may be reasonably necessary to carry out the provisions of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Restricted Stock Unit Agreement, including but not limited to all acts and documents related to compliance with federal and/or state securities and/or tax laws.</w:t>
      </w:r>
    </w:p>
    <w:p>
      <w:pPr>
        <w:pStyle w:val="TextBody"/>
        <w:bidi w:val="0"/>
        <w:spacing w:lineRule="auto" w:line="240" w:before="0" w:after="240"/>
        <w:ind w:left="0" w:right="0" w:hanging="720"/>
        <w:jc w:val="both"/>
        <w:rPr/>
      </w:pPr>
      <w:r>
        <w:rPr>
          <w:rFonts w:ascii="Times New Roman;serif" w:hAnsi="Times New Roman;serif"/>
          <w:b w:val="false"/>
          <w:color w:val="000000"/>
          <w:sz w:val="24"/>
        </w:rPr>
        <w:t>13.</w:t>
      </w:r>
      <w:r>
        <w:rPr>
          <w:rFonts w:ascii="Times New Roman;serif" w:hAnsi="Times New Roman;serif"/>
          <w:b/>
          <w:color w:val="000000"/>
          <w:sz w:val="24"/>
        </w:rPr>
        <w:t>Severability</w:t>
      </w:r>
      <w:r>
        <w:rPr>
          <w:rFonts w:ascii="Times New Roman;serif" w:hAnsi="Times New Roman;serif"/>
          <w:b w:val="false"/>
          <w:color w:val="000000"/>
          <w:sz w:val="24"/>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Restricted Stock Unit Agreement. Moreover, if one or more of the provisions contained in this Restricted Stock Unit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14.</w:t>
      </w:r>
      <w:r>
        <w:rPr>
          <w:rFonts w:ascii="Times New Roman;serif" w:hAnsi="Times New Roman;serif"/>
          <w:b/>
          <w:color w:val="000000"/>
          <w:sz w:val="24"/>
        </w:rPr>
        <w:t>Entire Agreement</w:t>
      </w:r>
      <w:r>
        <w:rPr>
          <w:rFonts w:ascii="Times New Roman;serif" w:hAnsi="Times New Roman;serif"/>
          <w:b w:val="false"/>
          <w:color w:val="000000"/>
          <w:sz w:val="24"/>
        </w:rPr>
        <w:t>. This Restricted Stock Unit Agreement and the Plan contain the entire agreement and understanding among the parties as to the subject matter hereof, and supersede any other agreements or representations, oral or otherwise, express or implied, with respect to the subject matter 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15.</w:t>
      </w:r>
      <w:r>
        <w:rPr>
          <w:rFonts w:ascii="Times New Roman;serif" w:hAnsi="Times New Roman;serif"/>
          <w:b/>
          <w:color w:val="000000"/>
          <w:sz w:val="24"/>
        </w:rPr>
        <w:t>Headings</w:t>
      </w:r>
      <w:r>
        <w:rPr>
          <w:rFonts w:ascii="Times New Roman;serif" w:hAnsi="Times New Roman;serif"/>
          <w:b w:val="false"/>
          <w:color w:val="000000"/>
          <w:sz w:val="24"/>
        </w:rPr>
        <w:t>. Headings are used solely for the convenience of the parties and shall not be deemed to be a limitation upon or descriptive of the contents of any such Section.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16.</w:t>
      </w:r>
      <w:r>
        <w:rPr>
          <w:rFonts w:ascii="Times New Roman;serif" w:hAnsi="Times New Roman;serif"/>
          <w:b/>
          <w:color w:val="000000"/>
          <w:sz w:val="24"/>
        </w:rPr>
        <w:t>Counterparts; Electronic Signature</w:t>
      </w:r>
      <w:r>
        <w:rPr>
          <w:rFonts w:ascii="Times New Roman;serif" w:hAnsi="Times New Roman;serif"/>
          <w:b w:val="false"/>
          <w:color w:val="000000"/>
          <w:sz w:val="24"/>
        </w:rPr>
        <w:t>. This Restricted Stock Unit Agreement may be executed in any number of counterparts, each of which shall be deemed an original and all of which together shall be deemed one and the same instrument. The Participant’s electronic signature of this Restricted Stock Unit Agreement shall have the same validity and effect as a signature affixed by the Participant’s hand.</w:t>
      </w:r>
    </w:p>
    <w:p>
      <w:pPr>
        <w:pStyle w:val="TextBody"/>
        <w:bidi w:val="0"/>
        <w:spacing w:lineRule="auto" w:line="240" w:before="0" w:after="240"/>
        <w:ind w:left="0" w:right="0" w:hanging="720"/>
        <w:jc w:val="both"/>
        <w:rPr/>
      </w:pPr>
      <w:r>
        <w:rPr>
          <w:rFonts w:ascii="Times New Roman;serif" w:hAnsi="Times New Roman;serif"/>
          <w:b w:val="false"/>
          <w:color w:val="000000"/>
          <w:sz w:val="24"/>
        </w:rPr>
        <w:t>17.</w:t>
      </w:r>
      <w:r>
        <w:rPr>
          <w:rFonts w:ascii="Times New Roman;serif" w:hAnsi="Times New Roman;serif"/>
          <w:b/>
          <w:color w:val="000000"/>
          <w:sz w:val="24"/>
        </w:rPr>
        <w:t>Amendment</w:t>
      </w:r>
      <w:r>
        <w:rPr>
          <w:rFonts w:ascii="Times New Roman;serif" w:hAnsi="Times New Roman;serif"/>
          <w:b w:val="false"/>
          <w:color w:val="000000"/>
          <w:sz w:val="24"/>
        </w:rPr>
        <w:t>. This Restricted Stock Unit Agreement, together with the Plan, may be amended unilaterally by the Company to the extent permitted under the Plan, or by a written instrument signed by all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4"/>
        </w:rPr>
        <w:t>18.</w:t>
      </w:r>
      <w:r>
        <w:rPr>
          <w:rFonts w:ascii="Times New Roman;serif" w:hAnsi="Times New Roman;serif"/>
          <w:b/>
          <w:color w:val="000000"/>
          <w:sz w:val="24"/>
        </w:rPr>
        <w:t>Set-Off</w:t>
      </w:r>
      <w:r>
        <w:rPr>
          <w:rFonts w:ascii="Times New Roman;serif" w:hAnsi="Times New Roman;serif"/>
          <w:b w:val="false"/>
          <w:color w:val="000000"/>
          <w:sz w:val="24"/>
        </w:rPr>
        <w:t xml:space="preserve">. The Participant hereby acknowledges and agrees, without limiting the rights of the Company or any Affiliate thereof otherwise available at law or in equity, that, to the extent permitted by law, any amount due to the Participant under this Restricted Stock Unit Agreement may be reduced by, and set-off against, any or all amounts or other consideration payable by the Participant to the Company or any of its Affiliates under any other agreement or arrangement between the Participant and the Company or any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set-off does not result in a penalty under Section 409A of the Internal Revenue Code of 1986, as amended, and the regulations thereunder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19.</w:t>
      </w:r>
      <w:r>
        <w:rPr>
          <w:rFonts w:ascii="Times New Roman;serif" w:hAnsi="Times New Roman;serif"/>
          <w:b/>
          <w:color w:val="000000"/>
          <w:sz w:val="24"/>
        </w:rPr>
        <w:t>No Limitation on Rights of the Company</w:t>
      </w:r>
      <w:r>
        <w:rPr>
          <w:rFonts w:ascii="Times New Roman;serif" w:hAnsi="Times New Roman;serif"/>
          <w:b w:val="false"/>
          <w:color w:val="000000"/>
          <w:sz w:val="24"/>
        </w:rPr>
        <w:t>. The grant of the Restricted Stock Units does not and will not in any way affect the right or power of the Company to make adjustments, reclassifications or changes in its capital or business structure, or to merge, consolidate, dissolve, liquidate, sell or transfer all or any part of its business or assets.</w:t>
      </w:r>
    </w:p>
    <w:p>
      <w:pPr>
        <w:pStyle w:val="TextBody"/>
        <w:bidi w:val="0"/>
        <w:spacing w:lineRule="auto" w:line="240" w:before="0" w:after="240"/>
        <w:ind w:left="0" w:right="0" w:hanging="720"/>
        <w:jc w:val="both"/>
        <w:rPr/>
      </w:pPr>
      <w:r>
        <w:rPr>
          <w:rFonts w:ascii="Times New Roman;serif" w:hAnsi="Times New Roman;serif"/>
          <w:b w:val="false"/>
          <w:color w:val="000000"/>
          <w:sz w:val="24"/>
        </w:rPr>
        <w:t>20.</w:t>
      </w:r>
      <w:r>
        <w:rPr>
          <w:rFonts w:ascii="Times New Roman;serif" w:hAnsi="Times New Roman;serif"/>
          <w:b/>
          <w:color w:val="000000"/>
          <w:sz w:val="24"/>
        </w:rPr>
        <w:t>Plan and this Restricted Stock Unit Agreement Not a Contract of Employment or Service</w:t>
      </w:r>
      <w:r>
        <w:rPr>
          <w:rFonts w:ascii="Times New Roman;serif" w:hAnsi="Times New Roman;serif"/>
          <w:b w:val="false"/>
          <w:color w:val="000000"/>
          <w:sz w:val="24"/>
        </w:rPr>
        <w:t xml:space="preserve">. Neither the Plan nor this Restricted Stock Unit Agreement are a contract of employment or service, and no terms of the Participant’s employment or service will be affected in any way by the Plan, this Restricted Stock Unit Agreement or related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instruments, except to the extent specifically expressed therein. Neither the Plan nor this Restricted Stock Unit Agreement will be construed as conferring any legal rights on the Participant to continue to be employed or remain in service with the Company and its Affiliates, nor will it interfere with any right of the Company or any of its Affiliates to discharge the Participant or to deal with the Participant regardless of the existence of the Plan, this Restricted Stock Unit Agreement or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21.</w:t>
      </w:r>
      <w:r>
        <w:rPr>
          <w:rFonts w:ascii="Times New Roman;serif" w:hAnsi="Times New Roman;serif"/>
          <w:b/>
          <w:color w:val="000000"/>
          <w:sz w:val="24"/>
        </w:rPr>
        <w:t>Continued Effect of Award Agreement</w:t>
      </w:r>
      <w:r>
        <w:rPr>
          <w:rFonts w:ascii="Times New Roman;serif" w:hAnsi="Times New Roman;serif"/>
          <w:b w:val="false"/>
          <w:color w:val="000000"/>
          <w:sz w:val="24"/>
        </w:rPr>
        <w:t>. To the extent that the Plan or this Restricted Stock Unit Agreement contains provisions that are intended to have effect after the date(s) as of which the Participant’s rights in respect to the Restricted Stock Unit Agreement have become vested (including, but not limited to, following the date of the Participant’s termination of employment), this Restricted Stock Unit Agreement and any Shares issued in respect of such Restricted Stock Unit Agreement shall continue to be subject to the terms of the Plan and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22.</w:t>
      </w:r>
      <w:r>
        <w:rPr>
          <w:rFonts w:ascii="Times New Roman;serif" w:hAnsi="Times New Roman;serif"/>
          <w:b/>
          <w:color w:val="000000"/>
          <w:sz w:val="24"/>
        </w:rPr>
        <w:t>Securities Law Requirements</w:t>
      </w:r>
      <w:r>
        <w:rPr>
          <w:rFonts w:ascii="Times New Roman;serif" w:hAnsi="Times New Roman;serif"/>
          <w:b w:val="false"/>
          <w:color w:val="000000"/>
          <w:sz w:val="24"/>
        </w:rPr>
        <w:t>. If at any time the Committee determines that issuing Shares would violate applicable securities laws, the Company will not be required to issue such Shares. The Committee may declare any provision of this Restricted Stock Unit Agreement or action of its own null and void, if it determines the provision or action fails to comply with the short-swing trading rules. As a condition to issuance, the Company may require the Participant to make written representations it deems necessary or desirable to comply with applicable securities laws. In addition to the transfer restrictions and limitations applicable hereunder, no Person who acquires Shares under this Restricted Stock Unit Agreement may sell the Shares, unless they make the offer and sale pursuant to an effective registration statement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which is current and includes the Shares to be sold, or an exemption from the registration requirements of the Securities Act.</w:t>
      </w:r>
    </w:p>
    <w:p>
      <w:pPr>
        <w:pStyle w:val="TextBody"/>
        <w:bidi w:val="0"/>
        <w:spacing w:lineRule="auto" w:line="240" w:before="0" w:after="240"/>
        <w:ind w:left="0" w:right="0" w:hanging="720"/>
        <w:jc w:val="both"/>
        <w:rPr/>
      </w:pPr>
      <w:r>
        <w:rPr>
          <w:rFonts w:ascii="Times New Roman;serif" w:hAnsi="Times New Roman;serif"/>
          <w:b w:val="false"/>
          <w:color w:val="000000"/>
          <w:sz w:val="24"/>
        </w:rPr>
        <w:t>23.</w:t>
      </w:r>
      <w:r>
        <w:rPr>
          <w:rFonts w:ascii="Times New Roman;serif" w:hAnsi="Times New Roman;serif"/>
          <w:b/>
          <w:color w:val="000000"/>
          <w:sz w:val="24"/>
        </w:rPr>
        <w:t>Notice</w:t>
      </w:r>
      <w:r>
        <w:rPr>
          <w:rFonts w:ascii="Times New Roman;serif" w:hAnsi="Times New Roman;serif"/>
          <w:b w:val="false"/>
          <w:color w:val="000000"/>
          <w:sz w:val="24"/>
        </w:rPr>
        <w:t xml:space="preserve">. Any notice or other communication required or permitted under this Restricted Stock Unit Agreement must be in writing and delivered personally, sent by certified, registered or express mail, or sent by overnight courier, at the sender’s expense. Notice will be deemed given when delivered personally or, if mailed, three (3) days after the date of deposit in the United States mail or, if sent by overnight courier, on the regular business day following the date sent. Notice to the Company should be sent to Krispy Kreme, Inc., 2116 Hawkins Street, Suite 101, Charlotte, NC 28203, Attn: Chief Legal Officer, or at such other address as the Company may hereafter designate in writing. Notice to the Participant should be sent to the address on file with the Company. </w:t>
      </w:r>
    </w:p>
    <w:p>
      <w:pPr>
        <w:pStyle w:val="TextBody"/>
        <w:bidi w:val="0"/>
        <w:spacing w:lineRule="auto" w:line="240" w:before="0" w:after="240"/>
        <w:ind w:left="0" w:right="0" w:hanging="720"/>
        <w:jc w:val="both"/>
        <w:rPr/>
      </w:pPr>
      <w:r>
        <w:rPr>
          <w:rFonts w:ascii="Times New Roman;serif" w:hAnsi="Times New Roman;serif"/>
          <w:b w:val="false"/>
          <w:color w:val="000000"/>
          <w:sz w:val="24"/>
        </w:rPr>
        <w:t>24.</w:t>
      </w:r>
      <w:r>
        <w:rPr>
          <w:rFonts w:ascii="Times New Roman;serif" w:hAnsi="Times New Roman;serif"/>
          <w:b/>
          <w:color w:val="000000"/>
          <w:sz w:val="24"/>
        </w:rPr>
        <w:t>Plan Document Controls</w:t>
      </w:r>
      <w:r>
        <w:rPr>
          <w:rFonts w:ascii="Times New Roman;serif" w:hAnsi="Times New Roman;serif"/>
          <w:b w:val="false"/>
          <w:color w:val="000000"/>
          <w:sz w:val="24"/>
        </w:rPr>
        <w:t>. The rights granted under this Restricted Stock Unit Agreement are in all respects subject to the terms of the Plan to the same extent and with the same effect as if set forth fully in this Restricted Stock Unit Agreement. If the terms of this Restricted Stock Unit Agreement conflict with the terms of the Plan, the Plan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4"/>
        </w:rPr>
        <w:t>25.</w:t>
      </w:r>
      <w:r>
        <w:rPr>
          <w:rFonts w:ascii="Times New Roman;serif" w:hAnsi="Times New Roman;serif"/>
          <w:b/>
          <w:color w:val="000000"/>
          <w:sz w:val="24"/>
        </w:rPr>
        <w:t>Change in Control; Code Section 280G</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Golden Parachutes</w:t>
      </w:r>
      <w:r>
        <w:rPr>
          <w:rFonts w:ascii="Times New Roman;serif" w:hAnsi="Times New Roman;serif"/>
          <w:b w:val="false"/>
          <w:color w:val="000000"/>
          <w:sz w:val="24"/>
        </w:rPr>
        <w:t>. If, upon a Change in Control, any of the payments and benefits provided under the Plan, any Award Agreement or any other agreement or arrangement between the Company or any of its Affiliates and the Participant (collectively, the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would constitute a “parachute payment” within the meaning of Section 280G of the Code (a “</w:t>
      </w:r>
      <w:r>
        <w:rPr>
          <w:rFonts w:ascii="Times New Roman;serif" w:hAnsi="Times New Roman;serif"/>
          <w:b/>
          <w:color w:val="000000"/>
          <w:sz w:val="24"/>
        </w:rPr>
        <w:t>Parachute Payment</w:t>
      </w:r>
      <w:r>
        <w:rPr>
          <w:color w:val="000000"/>
        </w:rPr>
        <w:t>”</w:t>
      </w:r>
      <w:r>
        <w:rPr>
          <w:rFonts w:ascii="Times New Roman;serif" w:hAnsi="Times New Roman;serif"/>
          <w:b w:val="false"/>
          <w:color w:val="000000"/>
          <w:sz w:val="24"/>
        </w:rPr>
        <w:t>) and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xml:space="preserve">), then the amount of payments to be received by the Participant pursuant to this Agreement shall be reduced to the maximum amount that will cause the total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amounts of the payments not to be subject to the Excise Tax, but only if the amount of such payments, after such reduction and after payment of all applicable taxes on the reduced amount, is equal to or greater than the amount of such payments the Participant would otherwise be entitled to retain without such reduction after the payment of all applicable taxes, including the Excise Tax. The accounting firm engaged by the Company for general audit purposes shall perform any calculations necessary in connection with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Any good faith determinations of the accounting firm made hereunder shall be final, binding, and conclusive upon the Participant and the Company. Any reduction in the amount of compensation or benefits effected pursuant to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shall first come, in order and, in each case, solely to the extent necessary, from any cash severance benefits payable to the Participant, then from any other payments that are treated in their entirety as Parachute Payments and then from any other Parachute Payments payable to the Participant with the later possible payment or vesting date being reduced or eliminated before a payment or benefit with an earlier payment or vesting date; provided that if the foregoing order of reduction or elimination would violate Section 409A, then the reduction shall be made pro rata among the payments or benefits otherwise due or payable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Deferred Compensation Units</w:t>
      </w:r>
      <w:r>
        <w:rPr>
          <w:rFonts w:ascii="Times New Roman;serif" w:hAnsi="Times New Roman;serif"/>
          <w:b w:val="false"/>
          <w:color w:val="000000"/>
          <w:sz w:val="24"/>
        </w:rPr>
        <w:t>. Notwithstanding anything to the contrary herein, if any Restricted Stock Units hereunder are considered nonqualified deferred compensation under Section 409A (“</w:t>
      </w:r>
      <w:r>
        <w:rPr>
          <w:rFonts w:ascii="Times New Roman;serif" w:hAnsi="Times New Roman;serif"/>
          <w:b/>
          <w:color w:val="000000"/>
          <w:sz w:val="24"/>
        </w:rPr>
        <w:t>Deferred Compensation Units</w:t>
      </w:r>
      <w:r>
        <w:rPr>
          <w:color w:val="000000"/>
        </w:rPr>
        <w:t>”</w:t>
      </w:r>
      <w:r>
        <w:rPr>
          <w:rFonts w:ascii="Times New Roman;serif" w:hAnsi="Times New Roman;serif"/>
          <w:b w:val="false"/>
          <w:color w:val="000000"/>
          <w:sz w:val="24"/>
        </w:rPr>
        <w:t>), to the extent that any such Deferred Compensation Units become vested in accordance with the terms of the Plan or this Restricted Stock Unit Agreement, such Deferred Compensation Units shall be payable at the time that they would otherwise have been payable without regard to the occurrence of a Change in Control solely to the extent required to avoid the imposition of additional taxes and penalties under Section 409A.</w:t>
      </w:r>
    </w:p>
    <w:p>
      <w:pPr>
        <w:pStyle w:val="TextBody"/>
        <w:bidi w:val="0"/>
        <w:spacing w:lineRule="auto" w:line="240" w:before="0" w:after="240"/>
        <w:ind w:left="0" w:right="0" w:hanging="720"/>
        <w:jc w:val="both"/>
        <w:rPr/>
      </w:pPr>
      <w:r>
        <w:rPr>
          <w:rFonts w:ascii="Times New Roman;serif" w:hAnsi="Times New Roman;serif"/>
          <w:b w:val="false"/>
          <w:color w:val="000000"/>
          <w:sz w:val="24"/>
        </w:rPr>
        <w:t>26.</w:t>
      </w:r>
      <w:r>
        <w:rPr>
          <w:rFonts w:ascii="Times New Roman;serif" w:hAnsi="Times New Roman;serif"/>
          <w:b/>
          <w:color w:val="000000"/>
          <w:sz w:val="24"/>
        </w:rPr>
        <w:t>Section 409A; Reformation</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intent of the parties is that the payments and benefits under this Restricted Stock Unit Agreement comply with Section 409A, to the extent subject thereto, and accordingly, to the maximum extent permitted, this Restricted Stock Unit Agreement shall be interpreted to be in compliance therewith or exempt therefrom.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Restricted Stock Unit Agreement or any other arrangement between the Participant and the Company during the six (6) month period immediately following the Participant’s separation from service shall instead be paid on the first business day after the date that is six (6) months following the Participant’s separation from service (or, if earlier, the Participant’s date of death). All payments under this Restricted Stock Unit Agreement shall be considered separate payments for purposes of Section 409A. The Company makes no representation that any or all of the payments described in this Restricted Stock Unit Agreement will be exempt from or comply with Section 409A and makes no undertaking to preclude Section 409A from applying to any such payment. The Participant shall be solely responsible for the payment of any taxes and penalties incurred under Section 409A.</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(b)If any provision of this Restricted Stock Unit Agreement or the Plan is invalid or unenforceable, in whole or in part, or as applied to any circumstance,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laws of any jurisdiction that may govern for such purpose, or if any provision of this Restricted Stock Unit Agreement or the Plan needs to be interpreted to comply with the requirements of Section 409A, then such provision shall be deemed modified or restricted, or so interpreted, to the extent and in the manner necessary to render the same valid and enforceable, or to the extent and in the manner necessary to be interpreted in compliance with such requirements of the Code, either generally or as applied to such circumstance, or shall be deemed excised from this Restricted Stock Unit Agreement or the Plan, as the case may require, and this Restricted Stock Unit Agreement or the Plan shall be construed and enforced to the maximum extent permitted by law as if such provision had been originally incorporated herein as so modified or restricted, or as if such provision had not been originally incorporated herein, as the case may be.</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ELECTRONIC ACCEPTANCE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and the Company agree that this Award is granted and governed by the terms and conditions of the Plan and this 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agrees that in lieu of receiving documents in paper format, the Participant accepts the electronic delivery of any documents by the Company, or any third party involved in administering the Plan that the Company may designate, may deliver in connection with this Award (including the Plan, this Restricted Stock Unit Agreement, account statements, or other communications or information) whether via the Company’s intranet or the internet site of such third party or via email or such other means of electronic delivery specified by the Company. The Participant hereby consents to receive such documents by electronic delivery and agrees to participate in the Plan through an online or electronic system established and maintained by the Company or any third party involved in administering the Plan that the Company may designate.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10.4</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i/>
          <w:color w:val="000000"/>
          <w:sz w:val="24"/>
        </w:rPr>
      </w:pPr>
      <w:r>
        <w:rPr>
          <w:rFonts w:ascii="Times New Roman;serif" w:hAnsi="Times New Roman;serif"/>
          <w:b w:val="false"/>
          <w:i/>
          <w:color w:val="000000"/>
          <w:sz w:val="24"/>
        </w:rPr>
        <w:t>Employee PSU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KRISPY KREME,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OMNIBUS INCENTIVE PLAN</w:t>
      </w:r>
    </w:p>
    <w:p>
      <w:pPr>
        <w:pStyle w:val="TextBody"/>
        <w:bidi w:val="0"/>
        <w:spacing w:lineRule="auto" w:line="288" w:before="0" w:after="2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(Performance-Based Vesting)</w:t>
      </w:r>
    </w:p>
    <w:p>
      <w:pPr>
        <w:pStyle w:val="TextBody"/>
        <w:bidi w:val="0"/>
        <w:spacing w:lineRule="auto" w:line="288" w:before="0" w:after="240"/>
        <w:ind w:left="0" w:right="0" w:firstLine="720"/>
        <w:jc w:val="both"/>
        <w:rPr/>
      </w:pPr>
      <w:r>
        <w:rPr>
          <w:rFonts w:ascii="Times New Roman;serif" w:hAnsi="Times New Roman;serif"/>
          <w:b/>
          <w:color w:val="000000"/>
          <w:sz w:val="24"/>
        </w:rPr>
        <w:t>THIS RESTRICTED STOCK UNIT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Restricted Stock Unit Agreement</w:t>
      </w:r>
      <w:r>
        <w:rPr>
          <w:color w:val="000000"/>
        </w:rPr>
        <w:t>”</w:t>
      </w:r>
      <w:r>
        <w:rPr>
          <w:rFonts w:ascii="Times New Roman;serif" w:hAnsi="Times New Roman;serif"/>
          <w:b w:val="false"/>
          <w:color w:val="000000"/>
          <w:sz w:val="24"/>
        </w:rPr>
        <w:t>), dated as of {Grant Date} (the “</w:t>
      </w:r>
      <w:r>
        <w:rPr>
          <w:rFonts w:ascii="Times New Roman;serif" w:hAnsi="Times New Roman;serif"/>
          <w:b/>
          <w:color w:val="000000"/>
          <w:sz w:val="24"/>
        </w:rPr>
        <w:t>Grant Date</w:t>
      </w:r>
      <w:r>
        <w:rPr>
          <w:color w:val="000000"/>
        </w:rPr>
        <w:t>”</w:t>
      </w:r>
      <w:r>
        <w:rPr>
          <w:rFonts w:ascii="Times New Roman;serif" w:hAnsi="Times New Roman;serif"/>
          <w:b w:val="false"/>
          <w:color w:val="000000"/>
          <w:sz w:val="24"/>
        </w:rPr>
        <w:t xml:space="preserve">), is made by and between </w:t>
      </w:r>
      <w:r>
        <w:rPr>
          <w:rFonts w:ascii="Times New Roman;serif" w:hAnsi="Times New Roman;serif"/>
          <w:b/>
          <w:color w:val="000000"/>
          <w:sz w:val="24"/>
        </w:rPr>
        <w:t>KRISPY KREME, INC.</w:t>
      </w:r>
      <w:r>
        <w:rPr>
          <w:rFonts w:ascii="Times New Roman;serif" w:hAnsi="Times New Roman;serif"/>
          <w:b w:val="false"/>
          <w:color w:val="000000"/>
          <w:sz w:val="24"/>
        </w:rPr>
        <w:t>,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{Participant Name} (the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Capitalized terms used but not defined herein shall have the respective meanings ascribed to them in the Krispy Kreme, Inc. 2021 Omnibus Incentive Plan (as may be amended and/or restated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or on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Restricted Stock Units Grant</w:t>
      </w:r>
      <w:r>
        <w:rPr>
          <w:rFonts w:ascii="Times New Roman;serif" w:hAnsi="Times New Roman;serif"/>
          <w:b w:val="false"/>
          <w:color w:val="000000"/>
          <w:sz w:val="24"/>
        </w:rPr>
        <w:t>. In accordance with the terms of the Plan and subject to this Restricted Stock Unit Agreement, as of the Grant Date (to the extent applicable, as amended as such terms apply to a Participant resident in the jurisdictions listed in the Schedule, as set out in the applicable terms of the Schedule), the Participant is hereby granted «RSUs» Restricted Stock Units. The Restricted Stock Units, and any Shares acquired upon settlement thereof, are subject to the following terms and conditions and to the provisions of the Plan, the terms of which are incorporated by reference herein.</w:t>
      </w:r>
    </w:p>
    <w:p>
      <w:pPr>
        <w:pStyle w:val="TextBody"/>
        <w:bidi w:val="0"/>
        <w:spacing w:lineRule="auto" w:line="240"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Vesting</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The Restricted Stock Units awarded hereby will vest based upon the level of achievement of the applicable Performance Goals and in the time and manner set forth on </w:t>
      </w:r>
      <w:r>
        <w:rPr>
          <w:rFonts w:ascii="Times New Roman;serif" w:hAnsi="Times New Roman;serif"/>
          <w:b/>
          <w:color w:val="000000"/>
          <w:sz w:val="24"/>
          <w:u w:val="single"/>
        </w:rPr>
        <w:t>Exhibit A</w:t>
      </w:r>
      <w:r>
        <w:rPr>
          <w:rFonts w:ascii="Times New Roman;serif" w:hAnsi="Times New Roman;serif"/>
          <w:b w:val="false"/>
          <w:color w:val="000000"/>
          <w:sz w:val="24"/>
        </w:rPr>
        <w:t>, provided that the Participant has remained in continuous employment with the Company and its Affiliates through any such vesting date set forth therein.</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2(e)</w:t>
      </w:r>
      <w:r>
        <w:rPr>
          <w:rFonts w:ascii="Times New Roman;serif" w:hAnsi="Times New Roman;serif"/>
          <w:b w:val="false"/>
          <w:color w:val="000000"/>
          <w:sz w:val="24"/>
        </w:rPr>
        <w:t>, if the Participant’s employment with the Company and its Affiliates terminates for any reason other than by reason of the Participant’s death or Disability or Retirement (as defined herein), all Restricted Stock Units that are unvested as of the date of the Participant’s termination shall automatically terminate without consideration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xml:space="preserve">. If, before the Restricted Stock Units have otherwise become fully vested in accordance with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Participant’s employment with the Company and its Affiliates terminates by reason of death or Disability, then the Restricted Stock Units shall immediately vest in full as of the date of such termination.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Retirement</w:t>
      </w:r>
      <w:r>
        <w:rPr>
          <w:rFonts w:ascii="Times New Roman;serif" w:hAnsi="Times New Roman;serif"/>
          <w:b w:val="false"/>
          <w:color w:val="000000"/>
          <w:sz w:val="24"/>
        </w:rPr>
        <w:t xml:space="preserve">. If, before the Restricted Stock Units have otherwise become fully vested in accordance with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Participant’s employment with the Company and its Affiliates terminates by reason of Retirement, then any outstanding Restricted Stock Units shall (1) become vested with respect to the Applicable Fraction of such Restricted Stock Units (for the avoidance of doubt, excluding any previously vested Restricted Stock Units), and (2) be immediately forfeited and canceled with respect to the remaining Restricted Stock Units. For purposes of applying the Applicable Fraction to the Restricted Stock Units under this </w:t>
      </w:r>
      <w:r>
        <w:rPr>
          <w:rFonts w:ascii="Times New Roman;serif" w:hAnsi="Times New Roman;serif"/>
          <w:b w:val="false"/>
          <w:color w:val="000000"/>
          <w:sz w:val="24"/>
          <w:u w:val="single"/>
        </w:rPr>
        <w:t>Section 2(d)</w:t>
      </w:r>
      <w:r>
        <w:rPr>
          <w:rFonts w:ascii="Times New Roman;serif" w:hAnsi="Times New Roman;serif"/>
          <w:b w:val="false"/>
          <w:color w:val="000000"/>
          <w:sz w:val="24"/>
        </w:rPr>
        <w:t xml:space="preserve">, the numerator shall be the number of days elapsed between the Vesting Commencement Date and the date of the Participant’s termination due to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Retirement, and the denominator shall be the number of days between the Vesting Commencement Date and the final vesting date set forth on </w:t>
      </w:r>
      <w:r>
        <w:rPr>
          <w:rFonts w:ascii="Times New Roman;serif" w:hAnsi="Times New Roman;serif"/>
          <w:b w:val="false"/>
          <w:color w:val="000000"/>
          <w:sz w:val="24"/>
          <w:u w:val="single"/>
        </w:rPr>
        <w:t>the</w:t>
      </w:r>
      <w:r>
        <w:rPr>
          <w:color w:val="000000"/>
          <w:u w:val="single"/>
        </w:rPr>
        <w:t xml:space="preserve"> </w:t>
      </w:r>
      <w:r>
        <w:rPr>
          <w:rFonts w:ascii="Times New Roman;serif" w:hAnsi="Times New Roman;serif"/>
          <w:b/>
          <w:color w:val="000000"/>
          <w:sz w:val="24"/>
          <w:u w:val="single"/>
        </w:rPr>
        <w:t>Appendix</w:t>
      </w:r>
      <w:r>
        <w:rPr>
          <w:rFonts w:ascii="Times New Roman;serif" w:hAnsi="Times New Roman;serif"/>
          <w:b w:val="false"/>
          <w:color w:val="000000"/>
          <w:sz w:val="24"/>
        </w:rPr>
        <w:t>, and in no event shall the Applicable Fraction be greater than one (1). For purposes of this Restricted Stock Unit Agreement, “</w:t>
      </w:r>
      <w:r>
        <w:rPr>
          <w:rFonts w:ascii="Times New Roman;serif" w:hAnsi="Times New Roman;serif"/>
          <w:b/>
          <w:color w:val="000000"/>
          <w:sz w:val="24"/>
        </w:rPr>
        <w:t>Retirement</w:t>
      </w:r>
      <w:r>
        <w:rPr>
          <w:color w:val="000000"/>
        </w:rPr>
        <w:t xml:space="preserve">” </w:t>
      </w:r>
      <w:r>
        <w:rPr>
          <w:rFonts w:ascii="Times New Roman;serif" w:hAnsi="Times New Roman;serif"/>
          <w:b w:val="false"/>
          <w:color w:val="000000"/>
          <w:sz w:val="24"/>
        </w:rPr>
        <w:t>means the Participant’s termination of employment (other than a termination for Cause or due to death or Disability) after attaining age sixty (60) and having completed at least five (5) years of continuous employment with the Company or any of its Affiliates.</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Notwithstanding anything to the contrary herein, in the event of a Change in Control, the Restricted Stock Units shall be treated in accordance with Section 13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Settlement of Restricted Stock Units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Measurement of Performance</w:t>
      </w:r>
      <w:r>
        <w:rPr>
          <w:rFonts w:ascii="Times New Roman;serif" w:hAnsi="Times New Roman;serif"/>
          <w:b w:val="false"/>
          <w:color w:val="000000"/>
          <w:sz w:val="24"/>
        </w:rPr>
        <w:t xml:space="preserve">. At the end of the Performance Period (as defined in </w:t>
      </w:r>
      <w:r>
        <w:rPr>
          <w:rFonts w:ascii="Times New Roman;serif" w:hAnsi="Times New Roman;serif"/>
          <w:b/>
          <w:color w:val="000000"/>
          <w:sz w:val="24"/>
          <w:u w:val="single"/>
        </w:rPr>
        <w:t>Exhibit A</w:t>
      </w:r>
      <w:r>
        <w:rPr>
          <w:rFonts w:ascii="Times New Roman;serif" w:hAnsi="Times New Roman;serif"/>
          <w:b w:val="false"/>
          <w:color w:val="000000"/>
          <w:sz w:val="24"/>
        </w:rPr>
        <w:t xml:space="preserve">), the Committee shall certify the applicable level of achievement of the Performance Goal for the Performance Period on the vesting date set forth on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and shall provide the Participant with notice as to the level of achievement and number of Restricted Stock Units earned.</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Delivery</w:t>
      </w:r>
      <w:r>
        <w:rPr>
          <w:rFonts w:ascii="Times New Roman;serif" w:hAnsi="Times New Roman;serif"/>
          <w:b w:val="false"/>
          <w:color w:val="000000"/>
          <w:sz w:val="24"/>
        </w:rPr>
        <w:t>. The Shares related to such vested Restricted Stock Units shall be delivered promptly (and in all events within 60 days) following the date such Restricted Stock Units have become vested.</w: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Rights as a Stockholder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Participant shall not have any rights of a stockholder as a result of receiving Restricted Stock Units under this Restricted Stock Unit Agreement, including, but not limited to, any right to vote the Shares to be issued hereunder or any right to dividends or dividend equivalents, unless and until (and only to the extent) the Restricted Stock Units have vested and, thereafter, the Shares have been distributed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Withholding Taxes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(a)As a condition to acceptance of any Shares in settlement of the Restricted Stock Units, the Participant authorizes withholding from payroll and any other amounts payable to such Participant, and otherwise agrees to make adequate provision for any sums required to be withheld (or permitted to be withheld in a manner that will not cause adverse accounting consequences for the Company or an Affiliate) to satisfy any U.S. federal, state, local and/or foreign tax or social insurance contribution withholding obligations (the “</w:t>
      </w:r>
      <w:r>
        <w:rPr>
          <w:rFonts w:ascii="Times New Roman;serif" w:hAnsi="Times New Roman;serif"/>
          <w:b/>
          <w:color w:val="000000"/>
          <w:sz w:val="24"/>
        </w:rPr>
        <w:t>Required Tax Payments</w:t>
      </w:r>
      <w:r>
        <w:rPr>
          <w:color w:val="000000"/>
        </w:rPr>
        <w:t>”</w:t>
      </w:r>
      <w:r>
        <w:rPr>
          <w:rFonts w:ascii="Times New Roman;serif" w:hAnsi="Times New Roman;serif"/>
          <w:b w:val="false"/>
          <w:color w:val="000000"/>
          <w:sz w:val="24"/>
        </w:rPr>
        <w:t>) of the Company or an Affiliate, if any, that arise in connection with the Restricted Stock Units. If the Participant fails to advance the Required Tax Payments after request by the Company or an Affiliate, the Company or the relevant Affiliate may, in its discretion, deduct any Required Tax Payments from any amount then or thereafter payable by the Company or the relevant Affiliate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Non-Section 16 Participants</w:t>
      </w:r>
      <w:r>
        <w:rPr>
          <w:rFonts w:ascii="Times New Roman;serif" w:hAnsi="Times New Roman;serif"/>
          <w:b w:val="false"/>
          <w:color w:val="000000"/>
          <w:sz w:val="24"/>
        </w:rPr>
        <w:t>. To the extent a Participant is not subject to the reporting requirements under Section 16 of the Securities Exchange Act of 1934, as amended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such Participant’s default election to advance the Required Tax Payments with respect to the Restricted Stock Units is by a cash payment following the Participant’s sale of (or sale by a broker-dealer acceptable to the Company through which the Participant has sold) a number of Shares with respect to which the Required Tax Payments have arisen with a Fair Market Value determined as of the Tax Date equal to the Required Tax Payments (“</w:t>
      </w:r>
      <w:r>
        <w:rPr>
          <w:rFonts w:ascii="Times New Roman;serif" w:hAnsi="Times New Roman;serif"/>
          <w:b/>
          <w:color w:val="000000"/>
          <w:sz w:val="24"/>
        </w:rPr>
        <w:t>Sell to Cover</w:t>
      </w:r>
      <w:r>
        <w:rPr>
          <w:color w:val="000000"/>
        </w:rPr>
        <w:t>”</w:t>
      </w:r>
      <w:r>
        <w:rPr>
          <w:rFonts w:ascii="Times New Roman;serif" w:hAnsi="Times New Roman;serif"/>
          <w:b w:val="false"/>
          <w:color w:val="000000"/>
          <w:sz w:val="24"/>
        </w:rPr>
        <w:t xml:space="preserve">). The Participant may elect, subject to Administrator’s approval, to satisfy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01040"/>
                <wp:effectExtent l="0" t="0" r="0" b="0"/>
                <wp:wrapNone/>
                <wp:docPr id="82" name="Frame8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his or her obligation to advance the Required Tax Payments with respect to the Restricted Stock Units by any of the following means: (1) a cash payment to the Company pursuant to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hereof, (2) authorizing the Company to withhold from the Shares otherwise to be delivered to the Participant pursuant to the Restricted Stock Units, a number of whole Shares with a Fair Market Value, determined as of the date the obligation to withhold or pay taxes first arises in connection with the Restricted Stock Units (the “</w:t>
      </w:r>
      <w:r>
        <w:rPr>
          <w:rFonts w:ascii="Times New Roman;serif" w:hAnsi="Times New Roman;serif"/>
          <w:b/>
          <w:color w:val="000000"/>
          <w:sz w:val="24"/>
        </w:rPr>
        <w:t>Tax Date</w:t>
      </w:r>
      <w:r>
        <w:rPr>
          <w:color w:val="000000"/>
        </w:rPr>
        <w:t>”</w:t>
      </w:r>
      <w:r>
        <w:rPr>
          <w:rFonts w:ascii="Times New Roman;serif" w:hAnsi="Times New Roman;serif"/>
          <w:b w:val="false"/>
          <w:color w:val="000000"/>
          <w:sz w:val="24"/>
        </w:rPr>
        <w:t>), equal to the Required Tax Payments (“</w:t>
      </w:r>
      <w:r>
        <w:rPr>
          <w:rFonts w:ascii="Times New Roman;serif" w:hAnsi="Times New Roman;serif"/>
          <w:b/>
          <w:color w:val="000000"/>
          <w:sz w:val="24"/>
        </w:rPr>
        <w:t>Net Withholding</w:t>
      </w:r>
      <w:r>
        <w:rPr>
          <w:color w:val="000000"/>
        </w:rPr>
        <w:t>”</w:t>
      </w:r>
      <w:r>
        <w:rPr>
          <w:rFonts w:ascii="Times New Roman;serif" w:hAnsi="Times New Roman;serif"/>
          <w:b w:val="false"/>
          <w:color w:val="000000"/>
          <w:sz w:val="24"/>
        </w:rPr>
        <w:t xml:space="preserve">), (3) Sell to Cover, or (4) any combination of (1), (2), and (3) above. Net Withholding will be performed with full Shares, and not fractional Shares. No certificate representing a Share shall be delivered until the Required Tax Payments have been satisfied in full. </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16 Participants</w:t>
      </w:r>
      <w:r>
        <w:rPr>
          <w:rFonts w:ascii="Times New Roman;serif" w:hAnsi="Times New Roman;serif"/>
          <w:b w:val="false"/>
          <w:color w:val="000000"/>
          <w:sz w:val="24"/>
        </w:rPr>
        <w:t xml:space="preserve">. To the extent a Participant is subject to the reporting requirements under Section 16 of the Exchange Act, then such Participant’s default election to advance the Required Tax Payments is by Net Withholding. The Participant may elect to satisfy his or her obligation to advance the Required Tax Payments with respect to the Restricted Stock Units by any of the following means: (1) a cash payment to the Company pursuant to </w:t>
      </w:r>
      <w:r>
        <w:rPr>
          <w:rFonts w:ascii="Times New Roman;serif" w:hAnsi="Times New Roman;serif"/>
          <w:b w:val="false"/>
          <w:color w:val="000000"/>
          <w:sz w:val="24"/>
          <w:u w:val="single"/>
        </w:rPr>
        <w:t>Section 5(a)</w:t>
      </w:r>
      <w:r>
        <w:rPr>
          <w:color w:val="000000"/>
        </w:rPr>
        <w:t xml:space="preserve"> </w:t>
      </w:r>
      <w:r>
        <w:rPr>
          <w:rFonts w:ascii="Times New Roman;serif" w:hAnsi="Times New Roman;serif"/>
          <w:b w:val="false"/>
          <w:color w:val="000000"/>
          <w:sz w:val="24"/>
        </w:rPr>
        <w:t xml:space="preserve">hereof, (2) Net Withholding, (3) Sell to Cover, or (4) any combination of (1), (2), and (3) above. Net Withholding will be performed with full Shares, and not fractional Shares. No certificate representing a Share shall be delivered until the Required Tax Payments have been satisfied in full.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Transfers</w:t>
      </w:r>
      <w:r>
        <w:rPr>
          <w:rFonts w:ascii="Times New Roman;serif" w:hAnsi="Times New Roman;serif"/>
          <w:b w:val="false"/>
          <w:color w:val="000000"/>
          <w:sz w:val="24"/>
        </w:rPr>
        <w:t>. Restricted Stock Units may not be sold, transferred, pledged, assigned or otherwise alienated or hypothecated, other than by will or by the laws of descent and distribution.</w:t>
      </w:r>
    </w:p>
    <w:p>
      <w:pPr>
        <w:pStyle w:val="TextBody"/>
        <w:bidi w:val="0"/>
        <w:spacing w:lineRule="auto" w:line="240" w:before="0" w:after="240"/>
        <w:ind w:left="0" w:right="0" w:hanging="720"/>
        <w:jc w:val="both"/>
        <w:rPr/>
      </w:pPr>
      <w:r>
        <w:rPr>
          <w:rFonts w:ascii="Times New Roman;serif" w:hAnsi="Times New Roman;serif"/>
          <w:b w:val="false"/>
          <w:color w:val="000000"/>
          <w:sz w:val="24"/>
        </w:rPr>
        <w:t>7.</w:t>
      </w:r>
      <w:r>
        <w:rPr>
          <w:rFonts w:ascii="Times New Roman;serif" w:hAnsi="Times New Roman;serif"/>
          <w:b/>
          <w:color w:val="000000"/>
          <w:sz w:val="24"/>
        </w:rPr>
        <w:t>Governing Law</w:t>
      </w:r>
      <w:r>
        <w:rPr>
          <w:rFonts w:ascii="Times New Roman;serif" w:hAnsi="Times New Roman;serif"/>
          <w:b w:val="false"/>
          <w:color w:val="000000"/>
          <w:sz w:val="24"/>
        </w:rPr>
        <w:t>. This Restricted Stock Unit Agreement shall be governed by and construed in accordance with the laws of the State of Delaware, without giving effect to the principles of conflicts of law of such state.</w:t>
      </w:r>
    </w:p>
    <w:p>
      <w:pPr>
        <w:pStyle w:val="TextBody"/>
        <w:bidi w:val="0"/>
        <w:spacing w:lineRule="auto" w:line="240" w:before="0" w:after="24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rPr>
        <w:t>Agreement Binding on Successors</w:t>
      </w:r>
      <w:r>
        <w:rPr>
          <w:rFonts w:ascii="Times New Roman;serif" w:hAnsi="Times New Roman;serif"/>
          <w:b w:val="false"/>
          <w:color w:val="000000"/>
          <w:sz w:val="24"/>
        </w:rPr>
        <w:t>. The terms of this Restricted Stock Unit Agreement shall be binding upon the Participant and upon the Participant’s heirs, executors, administrators, personal representatives, transferees, assignees and successors in interest, and upon the Company and its successors and assignees, whether the existence of the successor results from a direct or indirect purchase of all or substantially all of the business of the Company, or a merger, consolidation or otherwise, subject to the terms of the Plan.</w:t>
      </w:r>
    </w:p>
    <w:p>
      <w:pPr>
        <w:pStyle w:val="TextBody"/>
        <w:bidi w:val="0"/>
        <w:spacing w:lineRule="auto" w:line="240" w:before="0" w:after="24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rPr>
        <w:t>No Assignment</w:t>
      </w:r>
      <w:r>
        <w:rPr>
          <w:rFonts w:ascii="Times New Roman;serif" w:hAnsi="Times New Roman;serif"/>
          <w:b w:val="false"/>
          <w:color w:val="000000"/>
          <w:sz w:val="24"/>
        </w:rPr>
        <w:t>. Notwithstanding anything to the contrary in this Restricted Stock Unit Agreement, neither this Restricted Stock Unit Agreement nor any rights granted herein shall be assignable by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color w:val="000000"/>
          <w:sz w:val="24"/>
        </w:rPr>
        <w:t>Nature of Grant</w:t>
      </w:r>
      <w:r>
        <w:rPr>
          <w:rFonts w:ascii="Times New Roman;serif" w:hAnsi="Times New Roman;serif"/>
          <w:b w:val="false"/>
          <w:color w:val="000000"/>
          <w:sz w:val="24"/>
        </w:rPr>
        <w:t>. This Restricted Stock Unit Agreement is intended to comply with the applicable laws of any country or jurisdiction where Restricted Stock Units are granted under the Plan, and all provisions hereof shall be construed in a manner to so comply. In accepting the Restricted Stock Units, the Participant acknowledges, understands and agrees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Plan is established voluntarily by the Company, is discretionary in nature, and may be amended, suspended or terminated by the Company at any time, to the extent permitted by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01040"/>
                <wp:effectExtent l="0" t="0" r="0" b="0"/>
                <wp:wrapNone/>
                <wp:docPr id="83" name="Frame81"/>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grant of the Restricted Stock Units is voluntary and occasional and does not create any contractual or other right to receive future grants of Awards, or benefits in lieu of Restricted Stock Units, even if Restricted Stock Units have been granted in the past;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Awards or other grants, if any, will be at the sole discretion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(d)the Participant is voluntarily participating in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(e)the Restricted Stock Units and any Shares acquired under the Plan are not intended to replace any pension rights or compensation;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(f)the Restricted Stock Units and any Shares acquired under the Plan, and the income and value of same, are not part of the Participant’s employment conditions or normal or expected compensation for any purpose, including, without limitation, calculating any severance, resignation, termination, redundancy, dismissal, end-of-service payments, bonuses, long-service awards, pension or retirement or welfare benefits or similar payments;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(g)the future value of the Shares underlying the Restricted Stock Units is unknown, indeterminable and cannot be predicted with certainty;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(h)the value of such Shares may increase or decrease in value;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(i)to the extent permitted by applicable law, no claim or entitlement to compensation or damages shall arise from the forfeiture of the Restricted Stock Units resulting from the termination of the Participant’s employment with the Company or an Affiliate (for any reason whatsoever, whether or not later found to be invalid or in breach of employment laws in the jurisdiction where the Participant is providing continuous employment or the terms of the Participant’s employment agreement, if any), and in consideration of the grant of the Restricted Stock Units to which the Participant is otherwise not entitled, the Participant irrevocably agrees never to institute any claim against the Company or an Affiliate, waive the Participant’s ability, if any, to bring any such claim, and release the Company or an Affiliate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(j)for purposes of the Restricted Stock Units, the Participant’s employment will be considered terminated as of the date the Participant is no longer actively providing services to the Company or an Affiliate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Restricted Stock Unit Agreement or determined by the Company, the Participant’s right to vest in the Restricted Stock Units will terminate as of such date and will not be extended by any notice period (e.g., the Participant’s period of employment would not include any contractual or statutory notice period or any period of “garden leave,” request for reinstatement, or similar period mandated under employment laws in the jurisdiction where the Participant is employed or the terms of the Participant’s employment agreement, if any);</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01040"/>
                <wp:effectExtent l="0" t="0" r="0" b="0"/>
                <wp:wrapNone/>
                <wp:docPr id="84" name="Frame8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(k)unless otherwise provided in the Plan or by the Company in its discretion, the Restricted Stock Units and the benefits evidenced by this Restricted Stock Unit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(l)the Participant acknowledges and agrees that neither the Company nor an Affiliate shall be liable for any foreign exchange rate fluctuation between the Participant’s local currency and the United States Dollar that may affect the value of the Restricted Stock Units or any amounts due to the Participant upon settlement of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11.</w:t>
      </w:r>
      <w:r>
        <w:rPr>
          <w:rFonts w:ascii="Times New Roman;serif" w:hAnsi="Times New Roman;serif"/>
          <w:b/>
          <w:i/>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The Participant hereby explicitly and unambiguously consents to the collection, use and transfer, in electronic or other form, of the Participant’s personal data as described in this Restricted Stock Unit Agreement and any other grant materials by and among, as applicable, the Company and any Affiliate for the exclusive purpose of implementing, administering and managing participation in the Plan. The Participant understands that the Company and any Affiliate may hold certain personal information about the Participant, including, but not limited to, the Participant’s name, home address and telephone number, date of birth, social insurance number or other identification number, salary, nationality, job title, any shares of stock or directorships held in the Company, details of all Awards or any other entitlement to Shares awarded, canceled, exercised, vested, unvested or outstanding in the Participant’s favor (“Data”), for the exclusive purpose of implementing, administering and managing the Plan. The Participant understands that Data will be transferred to a third party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and that the recipient’s country (e.g., the United States) may have different data privacy laws with a lower level of protection than the Participant’s country. The Participant understands that he or she may request a list with the names and addresses of any potential recipients of the Data by contacting his or her local human resources representative. The Participant authorizes the Company, and any other possible recipients who may assist the Company (presently or in the future) with implementing, administering and managing the Plan to receive, possess, use, retain and transfer the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the Participant’s continuous employment and career with the Company or an Affiliate will not be adversely affected; the only adverse consequence of refusing or withdrawing consent is that the Company would not be able to grant the Participant restricted stock units or other equity awards or administer or maintain such awards. Therefore, the Participant understands that refusing or withdrawing consent may affect his or her ability to participate in the Plan. For more information on the consequences of the Participant’s refusal to consent or withdrawal of consent, the Participant understands that he or she may contact his or her local human resources representative.</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01040"/>
                <wp:effectExtent l="0" t="0" r="0" b="0"/>
                <wp:wrapNone/>
                <wp:docPr id="85" name="Frame8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12.</w:t>
      </w:r>
      <w:r>
        <w:rPr>
          <w:rFonts w:ascii="Times New Roman;serif" w:hAnsi="Times New Roman;serif"/>
          <w:b/>
          <w:color w:val="000000"/>
          <w:sz w:val="24"/>
        </w:rPr>
        <w:t>Necessary Acts</w:t>
      </w:r>
      <w:r>
        <w:rPr>
          <w:rFonts w:ascii="Times New Roman;serif" w:hAnsi="Times New Roman;serif"/>
          <w:b w:val="false"/>
          <w:color w:val="000000"/>
          <w:sz w:val="24"/>
        </w:rPr>
        <w:t>. The Participant hereby agrees to perform all acts, and to execute and deliver any documents that may be reasonably necessary to carry out the provisions of this Restricted Stock Unit Agreement, including but not limited to all acts and documents related to compliance with federal and/or state securities and/or tax laws.</w:t>
      </w:r>
    </w:p>
    <w:p>
      <w:pPr>
        <w:pStyle w:val="TextBody"/>
        <w:bidi w:val="0"/>
        <w:spacing w:lineRule="auto" w:line="240" w:before="0" w:after="240"/>
        <w:ind w:left="0" w:right="0" w:hanging="720"/>
        <w:jc w:val="both"/>
        <w:rPr/>
      </w:pPr>
      <w:r>
        <w:rPr>
          <w:rFonts w:ascii="Times New Roman;serif" w:hAnsi="Times New Roman;serif"/>
          <w:b w:val="false"/>
          <w:color w:val="000000"/>
          <w:sz w:val="24"/>
        </w:rPr>
        <w:t>13.</w:t>
      </w:r>
      <w:r>
        <w:rPr>
          <w:rFonts w:ascii="Times New Roman;serif" w:hAnsi="Times New Roman;serif"/>
          <w:b/>
          <w:color w:val="000000"/>
          <w:sz w:val="24"/>
        </w:rPr>
        <w:t>Severability</w:t>
      </w:r>
      <w:r>
        <w:rPr>
          <w:rFonts w:ascii="Times New Roman;serif" w:hAnsi="Times New Roman;serif"/>
          <w:b w:val="false"/>
          <w:color w:val="000000"/>
          <w:sz w:val="24"/>
        </w:rPr>
        <w:t>. Should any provision of this Restricted Stock Unit Agreement be held by a court of competent jurisdiction to be unenforceable, or enforceable only if modified, such holding shall not affect the validity of the remainder of this Restricted Stock Unit Agreement, the balance of which shall continue to be binding upon the parties hereto with any such modification (if any) to become a part hereof and treated as though contained in this original Restricted Stock Unit Agreement. Moreover, if one or more of the provisions contained in this Restricted Stock Unit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14.</w:t>
      </w:r>
      <w:r>
        <w:rPr>
          <w:rFonts w:ascii="Times New Roman;serif" w:hAnsi="Times New Roman;serif"/>
          <w:b/>
          <w:color w:val="000000"/>
          <w:sz w:val="24"/>
        </w:rPr>
        <w:t>Entire Agreement</w:t>
      </w:r>
      <w:r>
        <w:rPr>
          <w:rFonts w:ascii="Times New Roman;serif" w:hAnsi="Times New Roman;serif"/>
          <w:b w:val="false"/>
          <w:color w:val="000000"/>
          <w:sz w:val="24"/>
        </w:rPr>
        <w:t>. This Restricted Stock Unit Agreement and the Plan contain the entire agreement and understanding among the parties as to the subject matter hereof, and supersede any other agreements or representations, oral or otherwise, express or implied, with respect to the subject matter 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15.</w:t>
      </w:r>
      <w:r>
        <w:rPr>
          <w:rFonts w:ascii="Times New Roman;serif" w:hAnsi="Times New Roman;serif"/>
          <w:b/>
          <w:color w:val="000000"/>
          <w:sz w:val="24"/>
        </w:rPr>
        <w:t>Headings</w:t>
      </w:r>
      <w:r>
        <w:rPr>
          <w:rFonts w:ascii="Times New Roman;serif" w:hAnsi="Times New Roman;serif"/>
          <w:b w:val="false"/>
          <w:color w:val="000000"/>
          <w:sz w:val="24"/>
        </w:rPr>
        <w:t>. Headings are used solely for the convenience of the parties and shall not be deemed to be a limitation upon or descriptive of the contents of any such Section.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16.</w:t>
      </w:r>
      <w:r>
        <w:rPr>
          <w:rFonts w:ascii="Times New Roman;serif" w:hAnsi="Times New Roman;serif"/>
          <w:b/>
          <w:color w:val="000000"/>
          <w:sz w:val="24"/>
        </w:rPr>
        <w:t>Counterparts; Electronic Signature</w:t>
      </w:r>
      <w:r>
        <w:rPr>
          <w:rFonts w:ascii="Times New Roman;serif" w:hAnsi="Times New Roman;serif"/>
          <w:b w:val="false"/>
          <w:color w:val="000000"/>
          <w:sz w:val="24"/>
        </w:rPr>
        <w:t>. This Restricted Stock Unit Agreement may be executed in any number of counterparts, each of which shall be deemed an original and all of which together shall be deemed one and the same instrument. The Participant’s electronic signature of this Restricted Stock Unit Agreement shall have the same validity and effect as a signature affixed by the Participant’s hand.</w:t>
      </w:r>
    </w:p>
    <w:p>
      <w:pPr>
        <w:pStyle w:val="TextBody"/>
        <w:bidi w:val="0"/>
        <w:spacing w:lineRule="auto" w:line="240" w:before="0" w:after="240"/>
        <w:ind w:left="0" w:right="0" w:hanging="720"/>
        <w:jc w:val="both"/>
        <w:rPr/>
      </w:pPr>
      <w:r>
        <w:rPr>
          <w:rFonts w:ascii="Times New Roman;serif" w:hAnsi="Times New Roman;serif"/>
          <w:b w:val="false"/>
          <w:color w:val="000000"/>
          <w:sz w:val="24"/>
        </w:rPr>
        <w:t>17.</w:t>
      </w:r>
      <w:r>
        <w:rPr>
          <w:rFonts w:ascii="Times New Roman;serif" w:hAnsi="Times New Roman;serif"/>
          <w:b/>
          <w:color w:val="000000"/>
          <w:sz w:val="24"/>
        </w:rPr>
        <w:t>Amendment</w:t>
      </w:r>
      <w:r>
        <w:rPr>
          <w:rFonts w:ascii="Times New Roman;serif" w:hAnsi="Times New Roman;serif"/>
          <w:b w:val="false"/>
          <w:color w:val="000000"/>
          <w:sz w:val="24"/>
        </w:rPr>
        <w:t>. This Restricted Stock Unit Agreement, together with the Plan, may be amended unilaterally by the Company to the extent permitted under the Plan, or by a written instrument signed by all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4"/>
        </w:rPr>
        <w:t>18.</w:t>
      </w:r>
      <w:r>
        <w:rPr>
          <w:rFonts w:ascii="Times New Roman;serif" w:hAnsi="Times New Roman;serif"/>
          <w:b/>
          <w:color w:val="000000"/>
          <w:sz w:val="24"/>
        </w:rPr>
        <w:t>Set-Off</w:t>
      </w:r>
      <w:r>
        <w:rPr>
          <w:rFonts w:ascii="Times New Roman;serif" w:hAnsi="Times New Roman;serif"/>
          <w:b w:val="false"/>
          <w:color w:val="000000"/>
          <w:sz w:val="24"/>
        </w:rPr>
        <w:t xml:space="preserve">. The Participant hereby acknowledges and agrees, without limiting the rights of the Company or any Affiliate thereof otherwise available at law or in equity, that, to the extent permitted by law, any amount due to the Participant under this Restricted Stock Unit Agreement may be reduced by, and set-off against, any or all amounts or other consideration payable by the Participant to the Company or any of its Affiliates under any other agreement or arrangement between the Participant and the Company or any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set-off does not result in a penalty under Section 409A of the Internal Revenue Code of 1986, as amended, and the regulations thereunder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19.</w:t>
      </w:r>
      <w:r>
        <w:rPr>
          <w:rFonts w:ascii="Times New Roman;serif" w:hAnsi="Times New Roman;serif"/>
          <w:b/>
          <w:color w:val="000000"/>
          <w:sz w:val="24"/>
        </w:rPr>
        <w:t>No Limitation on Rights of the Company</w:t>
      </w:r>
      <w:r>
        <w:rPr>
          <w:rFonts w:ascii="Times New Roman;serif" w:hAnsi="Times New Roman;serif"/>
          <w:b w:val="false"/>
          <w:color w:val="000000"/>
          <w:sz w:val="24"/>
        </w:rPr>
        <w:t>. The grant of the Restricted Stock Units does not and will not in any way affect the right or power of the Company to make adjustments, reclassifications or changes in its capital or business structure, or to merge, consolidate, dissolve, liquidate, sell or transfer all or any part of its business or assets.</w:t>
      </w:r>
    </w:p>
    <w:p>
      <w:pPr>
        <w:pStyle w:val="TextBody"/>
        <w:bidi w:val="0"/>
        <w:spacing w:lineRule="auto" w:line="240" w:before="0" w:after="240"/>
        <w:ind w:left="0" w:right="0" w:hanging="720"/>
        <w:jc w:val="both"/>
        <w:rPr/>
      </w:pPr>
      <w:r>
        <w:rPr>
          <w:rFonts w:ascii="Times New Roman;serif" w:hAnsi="Times New Roman;serif"/>
          <w:b w:val="false"/>
          <w:color w:val="000000"/>
          <w:sz w:val="24"/>
        </w:rPr>
        <w:t>20.</w:t>
      </w:r>
      <w:r>
        <w:rPr>
          <w:rFonts w:ascii="Times New Roman;serif" w:hAnsi="Times New Roman;serif"/>
          <w:b/>
          <w:color w:val="000000"/>
          <w:sz w:val="24"/>
        </w:rPr>
        <w:t>Plan and this Restricted Stock Unit Agreement Not a Contract of Employment or Service</w:t>
      </w:r>
      <w:r>
        <w:rPr>
          <w:rFonts w:ascii="Times New Roman;serif" w:hAnsi="Times New Roman;serif"/>
          <w:b w:val="false"/>
          <w:color w:val="000000"/>
          <w:sz w:val="24"/>
        </w:rPr>
        <w:t xml:space="preserve">. Neither the Plan nor this Restricted Stock Unit Agreement are a contract of employment or service, and no terms of the Participant’s employment or service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01040"/>
                <wp:effectExtent l="0" t="0" r="0" b="0"/>
                <wp:wrapNone/>
                <wp:docPr id="86" name="Frame8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affected in any way by the Plan, this Restricted Stock Unit Agreement or related instruments, except to the extent specifically expressed therein. Neither the Plan nor this Restricted Stock Unit Agreement will be construed as conferring any legal rights on the Participant to continue to be employed or remain in service with the Company and its Affiliates, nor will it interfere with any right of the Company or any of its Affiliates to discharge the Participant or to deal with the Participant regardless of the existence of the Plan, this Restricted Stock Unit Agreement or the Restricted Stock Units.</w:t>
      </w:r>
    </w:p>
    <w:p>
      <w:pPr>
        <w:pStyle w:val="TextBody"/>
        <w:bidi w:val="0"/>
        <w:spacing w:lineRule="auto" w:line="240" w:before="0" w:after="240"/>
        <w:ind w:left="0" w:right="0" w:hanging="720"/>
        <w:jc w:val="both"/>
        <w:rPr/>
      </w:pPr>
      <w:r>
        <w:rPr>
          <w:rFonts w:ascii="Times New Roman;serif" w:hAnsi="Times New Roman;serif"/>
          <w:b w:val="false"/>
          <w:color w:val="000000"/>
          <w:sz w:val="24"/>
        </w:rPr>
        <w:t>21.</w:t>
      </w:r>
      <w:r>
        <w:rPr>
          <w:rFonts w:ascii="Times New Roman;serif" w:hAnsi="Times New Roman;serif"/>
          <w:b/>
          <w:color w:val="000000"/>
          <w:sz w:val="24"/>
        </w:rPr>
        <w:t>Continued Effect of Award Agreement</w:t>
      </w:r>
      <w:r>
        <w:rPr>
          <w:rFonts w:ascii="Times New Roman;serif" w:hAnsi="Times New Roman;serif"/>
          <w:b w:val="false"/>
          <w:color w:val="000000"/>
          <w:sz w:val="24"/>
        </w:rPr>
        <w:t>. To the extent that the Plan or this Restricted Stock Unit Agreement contains provisions that are intended to have effect after the date(s) as of which the Participant’s rights in respect to the Restricted Stock Unit Agreement have become vested (including, but not limited to, following the date of the Participant’s termination of employment), this Restricted Stock Unit Agreement and any Shares issued in respect of such Restricted Stock Unit Agreement shall continue to be subject to the terms of the Plan and this Restricted Stock Unit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22.</w:t>
      </w:r>
      <w:r>
        <w:rPr>
          <w:rFonts w:ascii="Times New Roman;serif" w:hAnsi="Times New Roman;serif"/>
          <w:b/>
          <w:color w:val="000000"/>
          <w:sz w:val="24"/>
        </w:rPr>
        <w:t>Securities Law Requirements</w:t>
      </w:r>
      <w:r>
        <w:rPr>
          <w:rFonts w:ascii="Times New Roman;serif" w:hAnsi="Times New Roman;serif"/>
          <w:b w:val="false"/>
          <w:color w:val="000000"/>
          <w:sz w:val="24"/>
        </w:rPr>
        <w:t>. If at any time the Committee determines that issuing Shares would violate applicable securities laws, the Company will not be required to issue such Shares. The Committee may declare any provision of this Restricted Stock Unit Agreement or action of its own null and void, if it determines the provision or action fails to comply with the short-swing trading rules. As a condition to issuance, the Company may require the Participant to make written representations it deems necessary or desirable to comply with applicable securities laws. In addition to the transfer restrictions and limitations applicable hereunder, no Person who acquires Shares under this Restricted Stock Unit Agreement may sell the Shares, unless they make the offer and sale pursuant to an effective registration statement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which is current and includes the Shares to be sold, or an exemption from the registration requirements of the Securities Act.</w:t>
      </w:r>
    </w:p>
    <w:p>
      <w:pPr>
        <w:pStyle w:val="TextBody"/>
        <w:bidi w:val="0"/>
        <w:spacing w:lineRule="auto" w:line="240" w:before="0" w:after="240"/>
        <w:ind w:left="0" w:right="0" w:hanging="720"/>
        <w:jc w:val="both"/>
        <w:rPr/>
      </w:pPr>
      <w:r>
        <w:rPr>
          <w:rFonts w:ascii="Times New Roman;serif" w:hAnsi="Times New Roman;serif"/>
          <w:b w:val="false"/>
          <w:color w:val="000000"/>
          <w:sz w:val="24"/>
        </w:rPr>
        <w:t>23.</w:t>
      </w:r>
      <w:r>
        <w:rPr>
          <w:rFonts w:ascii="Times New Roman;serif" w:hAnsi="Times New Roman;serif"/>
          <w:b/>
          <w:color w:val="000000"/>
          <w:sz w:val="24"/>
        </w:rPr>
        <w:t>Notice</w:t>
      </w:r>
      <w:r>
        <w:rPr>
          <w:rFonts w:ascii="Times New Roman;serif" w:hAnsi="Times New Roman;serif"/>
          <w:b w:val="false"/>
          <w:color w:val="000000"/>
          <w:sz w:val="24"/>
        </w:rPr>
        <w:t xml:space="preserve">. Any notice or other communication required or permitted under this Restricted Stock Unit Agreement must be in writing and delivered personally, sent by certified, registered or express mail, or sent by overnight courier, at the sender’s expense. Notice will be deemed given when delivered personally or, if mailed, three (3) days after the date of deposit in the United States mail or, if sent by overnight courier, on the regular business day following the date sent. Notice to the Company should be sent to Krispy Kreme, Inc., 2116 Hawkins Street, Charlotte, NC 28203, Attn: Chief Legal Officer, or at such other address as the Company may hereafter designate in writing. Notice to the Participant should be sent to the address on file with the Company. </w:t>
      </w:r>
    </w:p>
    <w:p>
      <w:pPr>
        <w:pStyle w:val="TextBody"/>
        <w:bidi w:val="0"/>
        <w:spacing w:lineRule="auto" w:line="240" w:before="0" w:after="240"/>
        <w:ind w:left="0" w:right="0" w:hanging="720"/>
        <w:jc w:val="both"/>
        <w:rPr/>
      </w:pPr>
      <w:r>
        <w:rPr>
          <w:rFonts w:ascii="Times New Roman;serif" w:hAnsi="Times New Roman;serif"/>
          <w:b w:val="false"/>
          <w:color w:val="000000"/>
          <w:sz w:val="24"/>
        </w:rPr>
        <w:t>24.</w:t>
      </w:r>
      <w:r>
        <w:rPr>
          <w:rFonts w:ascii="Times New Roman;serif" w:hAnsi="Times New Roman;serif"/>
          <w:b/>
          <w:color w:val="000000"/>
          <w:sz w:val="24"/>
        </w:rPr>
        <w:t>Plan Document Controls</w:t>
      </w:r>
      <w:r>
        <w:rPr>
          <w:rFonts w:ascii="Times New Roman;serif" w:hAnsi="Times New Roman;serif"/>
          <w:b w:val="false"/>
          <w:color w:val="000000"/>
          <w:sz w:val="24"/>
        </w:rPr>
        <w:t>. The rights granted under this Restricted Stock Unit Agreement are in all respects subject to the terms of the Plan to the same extent and with the same effect as if set forth fully in this Restricted Stock Unit Agreement. If the terms of this Restricted Stock Unit Agreement conflict with the terms of the Plan, the Plan will control.</w:t>
      </w:r>
    </w:p>
    <w:p>
      <w:pPr>
        <w:pStyle w:val="TextBody"/>
        <w:bidi w:val="0"/>
        <w:spacing w:lineRule="auto" w:line="240" w:before="0" w:after="240"/>
        <w:ind w:left="0" w:right="0" w:hanging="720"/>
        <w:jc w:val="both"/>
        <w:rPr/>
      </w:pPr>
      <w:r>
        <w:rPr>
          <w:rFonts w:ascii="Times New Roman;serif" w:hAnsi="Times New Roman;serif"/>
          <w:b w:val="false"/>
          <w:color w:val="000000"/>
          <w:sz w:val="24"/>
        </w:rPr>
        <w:t>25.</w:t>
      </w:r>
      <w:r>
        <w:rPr>
          <w:rFonts w:ascii="Times New Roman;serif" w:hAnsi="Times New Roman;serif"/>
          <w:b/>
          <w:color w:val="000000"/>
          <w:sz w:val="24"/>
        </w:rPr>
        <w:t>Change in Control; Code Section 280G</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Golden Parachutes</w:t>
      </w:r>
      <w:r>
        <w:rPr>
          <w:rFonts w:ascii="Times New Roman;serif" w:hAnsi="Times New Roman;serif"/>
          <w:b w:val="false"/>
          <w:color w:val="000000"/>
          <w:sz w:val="24"/>
        </w:rPr>
        <w:t>. If, upon a Change in Control, any of the payments and benefits provided under the Plan, any Award Agreement or any other agreement or arrangement between the Company or any of its Affiliates and the Participant (collectively, the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would constitute a “parachute payment” within the meaning of Section 280G of the Code (a “</w:t>
      </w:r>
      <w:r>
        <w:rPr>
          <w:rFonts w:ascii="Times New Roman;serif" w:hAnsi="Times New Roman;serif"/>
          <w:b/>
          <w:color w:val="000000"/>
          <w:sz w:val="24"/>
        </w:rPr>
        <w:t>Parachute Payment</w:t>
      </w:r>
      <w:r>
        <w:rPr>
          <w:color w:val="000000"/>
        </w:rPr>
        <w:t>”</w:t>
      </w:r>
      <w:r>
        <w:rPr>
          <w:rFonts w:ascii="Times New Roman;serif" w:hAnsi="Times New Roman;serif"/>
          <w:b w:val="false"/>
          <w:color w:val="000000"/>
          <w:sz w:val="24"/>
        </w:rPr>
        <w:t>) and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xml:space="preserve">), then the amount of payments to be received by the Participant pursuant to this Agreement shall be reduced to the maximum amount that will cause the total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01040"/>
                <wp:effectExtent l="0" t="0" r="0" b="0"/>
                <wp:wrapNone/>
                <wp:docPr id="87" name="Frame8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amounts of the payments not to be subject to the Excise Tax, but only if the amount of such payments, after such reduction and after payment of all applicable taxes on the reduced amount, is equal to or greater than the amount of such payments the Participant would otherwise be entitled to retain without such reduction after the payment of all applicable taxes, including the Excise Tax. The accounting firm engaged by the Company for general audit purposes shall perform any calculations necessary in connection with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Any good faith determinations of the accounting firm made hereunder shall be final, binding, and conclusive upon the Participant and the Company. Any reduction in the amount of compensation or benefits effected pursuant to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shall first come, in order and, in each case, solely to the extent necessary, from any cash severance benefits payable to the Participant, then from any other payments that are treated in their entirety as Parachute Payments and then from any other Parachute Payments payable to the Participant with the later possible payment or vesting date being reduced or eliminated before a payment or benefit with an earlier payment or vesting date; provided that if the foregoing order of reduction or elimination would violate Section 409A, then the reduction shall be made pro rata among the payments or benefits otherwise due or payable to the Participant.</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Deferred Compensation Units</w:t>
      </w:r>
      <w:r>
        <w:rPr>
          <w:rFonts w:ascii="Times New Roman;serif" w:hAnsi="Times New Roman;serif"/>
          <w:b w:val="false"/>
          <w:color w:val="000000"/>
          <w:sz w:val="24"/>
        </w:rPr>
        <w:t>. Notwithstanding anything to the contrary herein, if any Restricted Stock Units hereunder are considered nonqualified deferred compensation under Section 409A (“</w:t>
      </w:r>
      <w:r>
        <w:rPr>
          <w:rFonts w:ascii="Times New Roman;serif" w:hAnsi="Times New Roman;serif"/>
          <w:b/>
          <w:color w:val="000000"/>
          <w:sz w:val="24"/>
        </w:rPr>
        <w:t>Deferred Compensation Units</w:t>
      </w:r>
      <w:r>
        <w:rPr>
          <w:color w:val="000000"/>
        </w:rPr>
        <w:t>”</w:t>
      </w:r>
      <w:r>
        <w:rPr>
          <w:rFonts w:ascii="Times New Roman;serif" w:hAnsi="Times New Roman;serif"/>
          <w:b w:val="false"/>
          <w:color w:val="000000"/>
          <w:sz w:val="24"/>
        </w:rPr>
        <w:t>), to the extent that any such Deferred Compensation Units become vested in accordance with the terms of the Plan or this Restricted Stock Unit Agreement, such Deferred Compensation Units shall be payable at the time that they would otherwise have been payable without regard to the occurrence of a Change in Control solely to the extent required to avoid the imposition of additional taxes and penalties under Section 409A.</w:t>
      </w:r>
    </w:p>
    <w:p>
      <w:pPr>
        <w:pStyle w:val="TextBody"/>
        <w:bidi w:val="0"/>
        <w:spacing w:lineRule="auto" w:line="240" w:before="0" w:after="240"/>
        <w:ind w:left="0" w:right="0" w:hanging="720"/>
        <w:jc w:val="both"/>
        <w:rPr/>
      </w:pPr>
      <w:r>
        <w:rPr>
          <w:rFonts w:ascii="Times New Roman;serif" w:hAnsi="Times New Roman;serif"/>
          <w:b w:val="false"/>
          <w:color w:val="000000"/>
          <w:sz w:val="24"/>
        </w:rPr>
        <w:t>26.</w:t>
      </w:r>
      <w:r>
        <w:rPr>
          <w:rFonts w:ascii="Times New Roman;serif" w:hAnsi="Times New Roman;serif"/>
          <w:b/>
          <w:color w:val="000000"/>
          <w:sz w:val="24"/>
        </w:rPr>
        <w:t>Section 409A; Reformation</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intent of the parties is that the payments and benefits under this Restricted Stock Unit Agreement comply with Section 409A, to the extent subject thereto, and accordingly, to the maximum extent permitted, this Restricted Stock Unit Agreement shall be interpreted to be in compliance therewith or exempt therefrom.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Restricted Stock Unit Agreement or any other arrangement between the Participant and the Company during the six (6) month period immediately following the Participant’s separation from service shall instead be paid on the first business day after the date that is six (6) months following the Participant’s separation from service (or, if earlier, the Participant’s date of death). All payments under this Restricted Stock Unit Agreement shall be considered separate payments for purposes of Section 409A. The Company makes no representation that any or all of the payments described in this Restricted Stock Unit Agreement will be exempt from or comply with Section 409A and makes no undertaking to preclude Section 409A from applying to any such payment. The Participant shall be solely responsible for the payment of any taxes and penalties incurred under Section 409A.</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(b)If any provision of this Restricted Stock Unit Agreement or the Plan is invalid or unenforceable, in whole or in part, or as applied to any circumstance, under the laws of any jurisdiction that may govern for such purpose, or if any provision of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01040"/>
                <wp:effectExtent l="0" t="0" r="0" b="0"/>
                <wp:wrapNone/>
                <wp:docPr id="88" name="Frame8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Restricted Stock Unit Agreement or the Plan needs to be interpreted to comply with the requirements of Section 409A, then such provision shall be deemed modified or restricted, or so interpreted, to the extent and in the manner necessary to render the same valid and enforceable, or to the extent and in the manner necessary to be interpreted in compliance with such requirements of the Code, either generally or as applied to such circumstance, or shall be deemed excised from this Restricted Stock Unit Agreement or the Plan, as the case may require, and this Restricted Stock Unit Agreement or the Plan shall be construed and enforced to the maximum extent permitted by law as if such provision had been originally incorporated herein as so modified or restricted, or as if such provision had not been originally incorporated herein,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01040"/>
                <wp:effectExtent l="0" t="0" r="0" b="0"/>
                <wp:wrapNone/>
                <wp:docPr id="89" name="Frame87"/>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ELECTRONIC ACCEPTANCE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and the Company agree that this Award is granted and governed by the terms and conditions of the Plan and this Restricted Stock Unit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 Participant’s electronic acceptance hereof, the Participant agrees that in lieu of receiving documents in paper format, the Participant accepts the electronic delivery of any documents by the Company, or any third party involved in administering the Plan that the Company may designate, may deliver in connection with this Award (including the Plan, this Restricted Stock Unit Agreement, account statements, or other communications or information) whether via the Company’s intranet or the internet site of such third party or via email or such other means of electronic delivery specified by the Company. The Participant hereby consents to receive such documents by electronic delivery and agrees to participate in the Plan through an online or electronic system established and maintained by the Company or any third party involved in administering the Plan that the Company may designate.</w:t>
      </w:r>
    </w:p>
    <w:p>
      <w:pPr>
        <w:pStyle w:val="TextBody"/>
        <w:bidi w:val="0"/>
        <w:spacing w:before="0" w:after="2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01040"/>
                <wp:effectExtent l="0" t="0" r="0" b="0"/>
                <wp:wrapNone/>
                <wp:docPr id="90" name="Frame88"/>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195.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GOALS AND VESTING TERMS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PERFORMANCE-BASED RESTRICTED STOCK UNIT AWARD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 the three fiscal year period beginning on [_]</w:t>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Defined Terms; Incorporation</w:t>
      </w:r>
      <w:r>
        <w:rPr>
          <w:rFonts w:ascii="Times New Roman;serif" w:hAnsi="Times New Roman;serif"/>
          <w:b w:val="false"/>
          <w:color w:val="000000"/>
          <w:sz w:val="24"/>
        </w:rPr>
        <w:t xml:space="preserve">. Capitalized terms used in this Exhibit A shall have the same meaning as they have for purposes of the Restricted Stock Unit Agreement. This Exhibit A is incorporated into and forms a part of the Restricted Stock Unit Agreement. This Exhibit A is subject in all respects to the terms and conditions of the Restricted Stock Unit Agreement and the Plan. </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Performance Award</w:t>
      </w:r>
      <w:r>
        <w:rPr>
          <w:rFonts w:ascii="Times New Roman;serif" w:hAnsi="Times New Roman;serif"/>
          <w:b w:val="false"/>
          <w:color w:val="000000"/>
          <w:sz w:val="24"/>
        </w:rPr>
        <w:t xml:space="preserve">. The Award consists of an aggregate of «RSUs» Restricted Stock Units. </w: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Performance Period; Vesting</w:t>
      </w:r>
      <w:r>
        <w:rPr>
          <w:rFonts w:ascii="Times New Roman;serif" w:hAnsi="Times New Roman;serif"/>
          <w:b w:val="false"/>
          <w:color w:val="000000"/>
          <w:sz w:val="24"/>
        </w:rPr>
        <w:t>. The Restricted Stock Units shall vest on [__], subject to the Participant’s continued employment with the Company and its Affiliates through such date and subject to the achievement of the applicable Performance Goals (set forth below) during the three fiscal year period beginning on [__], and ending on [__](the “</w:t>
      </w:r>
      <w:r>
        <w:rPr>
          <w:rFonts w:ascii="Times New Roman;serif" w:hAnsi="Times New Roman;serif"/>
          <w:b/>
          <w:color w:val="000000"/>
          <w:sz w:val="24"/>
        </w:rPr>
        <w:t>Performance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Performance Goals; Determination of Performance</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The number of Restricted Stock Units that shall become vested based on achievement of the Performance Goals shall be determined as follows: </w:t>
      </w:r>
    </w:p>
    <w:p>
      <w:pPr>
        <w:pStyle w:val="TextBody"/>
        <w:bidi w:val="0"/>
        <w:spacing w:lineRule="auto" w:line="288" w:before="0" w:after="36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lineRule="auto" w:line="288"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Interpolation</w:t>
      </w:r>
      <w:r>
        <w:rPr>
          <w:rFonts w:ascii="Times New Roman;serif" w:hAnsi="Times New Roman;serif"/>
          <w:b w:val="false"/>
          <w:color w:val="000000"/>
          <w:sz w:val="24"/>
        </w:rPr>
        <w:t>. In the event that the level of achievement falls between the Threshold and Target or between the Target and Maximum for each respective goal, the applicable Payout % (and as a result, the number of the Restricted Stock Units earned) will be interpolated on a straight-line basis between such applicable percentiles.</w:t>
      </w:r>
    </w:p>
    <w:p>
      <w:pPr>
        <w:pStyle w:val="TextBody"/>
        <w:bidi w:val="0"/>
        <w:spacing w:lineRule="auto" w:line="288"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Maximum</w:t>
      </w:r>
      <w:r>
        <w:rPr>
          <w:rFonts w:ascii="Times New Roman;serif" w:hAnsi="Times New Roman;serif"/>
          <w:b w:val="false"/>
          <w:color w:val="000000"/>
          <w:sz w:val="24"/>
        </w:rPr>
        <w:t>. In no event may the number of Restricted Stock Units that become vested exceed 200% of the number of Restricted Stock Units subject to the Award.</w:t>
      </w:r>
    </w:p>
    <w:p>
      <w:pPr>
        <w:pStyle w:val="TextBody"/>
        <w:bidi w:val="0"/>
        <w:spacing w:lineRule="auto" w:line="268"/>
        <w:ind w:left="0" w:right="0" w:hanging="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Committee’s Decision Final</w:t>
      </w:r>
      <w:r>
        <w:rPr>
          <w:rFonts w:ascii="Times New Roman;serif" w:hAnsi="Times New Roman;serif"/>
          <w:b w:val="false"/>
          <w:color w:val="000000"/>
          <w:sz w:val="24"/>
        </w:rPr>
        <w:t xml:space="preserve">. Achievement of the Performance Goals will be established by written resolution of the Committee. The Committee’s determination of the Performance Goals, and the achievement of the Performance Goals, is final and binding on all persons.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31.1</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Josh Charlesworth, certify that:</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28, 2026, of Krispy Kreme, Inc.;</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a.All significant defic</w:t>
      </w:r>
      <w:r>
        <w:rPr>
          <w:rFonts w:ascii="Times New Roman;serif" w:hAnsi="Times New Roman;serif"/>
          <w:b w:val="false"/>
          <w:color w:val="000000"/>
          <w:sz w:val="20"/>
          <w:shd w:fill="FFFFFF" w:val="clear"/>
        </w:rPr>
        <w:t>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972"/>
        <w:jc w:val="both"/>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Da</w:t>
      </w:r>
      <w:r>
        <w:rPr>
          <w:rFonts w:ascii="Times New Roman;serif" w:hAnsi="Times New Roman;serif"/>
          <w:b w:val="false"/>
          <w:color w:val="000000"/>
          <w:sz w:val="20"/>
        </w:rPr>
        <w:t>te: August 6,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Josh Charlesworth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Josh Charlesworth</w:t>
      </w:r>
    </w:p>
    <w:p>
      <w:pPr>
        <w:pStyle w:val="TextBody"/>
        <w:bidi w:val="0"/>
        <w:spacing w:lineRule="auto" w:line="27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31.2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Raphael Duvivier, certify that:</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June 28, 2026, of Krispy Kreme, Inc.;</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972"/>
        <w:jc w:val="both"/>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August 6,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Raphael Duvivier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Raphael Duvivier</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32.1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Krispy Kreme, Inc. (the “Company”), for the quarterly period ended June 28, 2026, as filed with the Securities and Exchange Commission on the date hereof (the “Report”), each of the undersigned officers of the Company certifies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2.The information contained in the Report fairly presents, in all material respects, the financial condition and results of opera</w:t>
      </w:r>
      <w:r>
        <w:rPr>
          <w:rFonts w:ascii="Times New Roman;serif" w:hAnsi="Times New Roman;serif"/>
          <w:b w:val="false"/>
          <w:color w:val="000000"/>
          <w:sz w:val="20"/>
          <w:shd w:fill="FFFFFF" w:val="clear"/>
        </w:rPr>
        <w:t>tions of the Company.</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Josh Charlesworth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Josh Charlesworth</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Chief Executive Officer</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Dat</w:t>
      </w:r>
      <w:r>
        <w:rPr>
          <w:rFonts w:ascii="Times New Roman;serif" w:hAnsi="Times New Roman;serif"/>
          <w:b w:val="false"/>
          <w:color w:val="000000"/>
          <w:sz w:val="20"/>
        </w:rPr>
        <w:t>e: August 6, 2026</w:t>
      </w:r>
    </w:p>
    <w:p>
      <w:pPr>
        <w:pStyle w:val="TextBody"/>
        <w:bidi w:val="0"/>
        <w:spacing w:lineRule="auto" w:line="276"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/s/ Raphael Duvivier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Raphael Duvivier</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57154/000185715426000036/exhibit991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40494</Words>
  <Characters>224527</Characters>
  <CharactersWithSpaces>262816</CharactersWithSpaces>
  <Paragraphs>4356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