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0"/>
        <w:ind w:left="0" w:right="0" w:hanging="10"/>
        <w:jc w:val="cente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0" w:after="0"/>
        <w:jc w:val="center"/>
      </w:pPr>
      <w:r>
        <w:rPr>
          <w:rFonts w:ascii="Times New Roman;serif" w:hAnsi="Times New Roman;serif"/>
          <w:b w:val="false"/>
          <w:color w:val="000000"/>
          <w:sz w:val="20"/>
        </w:rPr>
        <w:t>For the quarterly period ended</w:t>
      </w:r>
      <w:r>
        <w:rPr>
          <w:color w:val="000000"/>
        </w:rPr>
        <w:t xml:space="preserve"> </w:t>
      </w:r>
      <w:r>
        <w:rPr>
          <w:rFonts w:ascii="Times New Roman;serif" w:hAnsi="Times New Roman;serif"/>
          <w:b/>
          <w:color w:val="000000"/>
          <w:sz w:val="20"/>
        </w:rPr>
        <w:t>September 27, 2026</w:t>
      </w:r>
    </w:p>
    <w:p>
      <w:pPr>
        <w:pStyle w:val="TextBody"/>
        <w:bidi w:val="0"/>
        <w:spacing w:before="0" w:after="0"/>
        <w:jc w:val="center"/>
      </w:pPr>
      <w:r/>
    </w:p>
    <w:p>
      <w:pPr>
        <w:pStyle w:val="TextBody"/>
        <w:bidi w:val="0"/>
        <w:spacing w:lineRule="auto" w:line="288" w:before="0" w:after="0"/>
        <w:ind w:left="0" w:right="0" w:hanging="10"/>
        <w:jc w:val="center"/>
        <w:rPr>
          <w:color w:val="000000"/>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001-40573</w:t>
      </w:r>
    </w:p>
    <w:p>
      <w:pPr>
        <w:pStyle w:val="TextBody"/>
        <w:bidi w:val="0"/>
        <w:spacing w:before="0" w:after="0"/>
        <w:jc w:val="center"/>
      </w:pPr>
      <w:r/>
    </w:p>
    <w:p>
      <w:pPr>
        <w:pStyle w:val="TextBody"/>
        <w:bidi w:val="0"/>
        <w:spacing w:before="0" w:after="0"/>
        <w:jc w:val="center"/>
      </w:pPr>
      <w:r>
        <w:drawing>
          <wp:inline distT="0" distB="0" distL="0" distR="0">
            <wp:extent cx="17430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Krispy Kreme,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pPr>
      <w:r/>
    </w:p>
    <w:tbl>
      <w:tblPr>
        <w:tblW w:w="5713" w:type="dxa"/>
        <w:jc w:val="center"/>
        <w:tblInd w:w="0" w:type="dxa"/>
        <w:tblLayout w:type="fixed"/>
        <w:tblCellMar>
          <w:top w:w="28" w:type="dxa"/>
          <w:left w:w="28" w:type="dxa"/>
          <w:bottom w:w="28" w:type="dxa"/>
          <w:right w:w="28" w:type="dxa"/>
        </w:tblCellMar>
      </w:tblPr>
      <w:tblGrid>
        <w:gridCol w:w="1148"/>
        <w:gridCol w:w="1008"/>
        <w:gridCol w:w="1023"/>
        <w:gridCol w:w="740"/>
        <w:gridCol w:w="740"/>
        <w:gridCol w:w="1054"/>
      </w:tblGrid>
      <w:t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37-1701311</w:t>
            </w:r>
          </w:p>
        </w:tc>
      </w:tr>
      <w:t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2116 Hawkins Street, Suite 101, Charlotte, North Carolina 28203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457-4779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02"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pPr>
      <w:r/>
    </w:p>
    <w:tbl>
      <w:tblPr>
        <w:tblW w:w="9361" w:type="dxa"/>
        <w:jc w:val="left"/>
        <w:tblInd w:w="0" w:type="dxa"/>
        <w:tblLayout w:type="fixed"/>
        <w:tblCellMar>
          <w:top w:w="28" w:type="dxa"/>
          <w:left w:w="28" w:type="dxa"/>
          <w:bottom w:w="28" w:type="dxa"/>
          <w:right w:w="28" w:type="dxa"/>
        </w:tblCellMar>
      </w:tblPr>
      <w:tblGrid>
        <w:gridCol w:w="124"/>
        <w:gridCol w:w="109"/>
        <w:gridCol w:w="109"/>
        <w:gridCol w:w="1147"/>
        <w:gridCol w:w="1147"/>
        <w:gridCol w:w="1155"/>
        <w:gridCol w:w="109"/>
        <w:gridCol w:w="109"/>
        <w:gridCol w:w="109"/>
        <w:gridCol w:w="424"/>
        <w:gridCol w:w="424"/>
        <w:gridCol w:w="426"/>
        <w:gridCol w:w="109"/>
        <w:gridCol w:w="109"/>
        <w:gridCol w:w="109"/>
        <w:gridCol w:w="1089"/>
        <w:gridCol w:w="1089"/>
        <w:gridCol w:w="1092"/>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DNUT</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2" w:before="0" w:after="0"/>
        <w:jc w:val="both"/>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53"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109"/>
        <w:gridCol w:w="109"/>
        <w:gridCol w:w="109"/>
        <w:gridCol w:w="769"/>
        <w:gridCol w:w="769"/>
        <w:gridCol w:w="772"/>
        <w:gridCol w:w="123"/>
        <w:gridCol w:w="123"/>
        <w:gridCol w:w="175"/>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bl>
    <w:p>
      <w:pPr>
        <w:pStyle w:val="TextBody"/>
        <w:bidi w:val="0"/>
        <w:spacing w:lineRule="auto" w:line="288" w:before="0" w:after="0"/>
        <w:jc w:val="both"/>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had outstanding 173.5 million shares of common stock as of October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21"/>
        <w:gridCol w:w="371"/>
        <w:gridCol w:w="371"/>
        <w:gridCol w:w="372"/>
        <w:gridCol w:w="371"/>
        <w:gridCol w:w="371"/>
        <w:gridCol w:w="2442"/>
        <w:gridCol w:w="2441"/>
        <w:gridCol w:w="2470"/>
        <w:gridCol w:w="167"/>
        <w:gridCol w:w="167"/>
        <w:gridCol w:w="241"/>
      </w:tblGrid>
      <w:t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85d8b002594243e7b51da769cf4c7d6e_10">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
              <w:r>
                <w:rPr>
                  <w:rStyle w:val="InternetLink"/>
                  <w:rFonts w:ascii="Times New Roman;serif" w:hAnsi="Times New Roman;serif"/>
                  <w:b w:val="false"/>
                  <w:strike w:val="false"/>
                  <w:dstrike w:val="false"/>
                  <w:color w:val="0000FF"/>
                  <w:sz w:val="20"/>
                  <w:u w:val="none"/>
                  <w:effect w:val="none"/>
                </w:rPr>
                <w:t>Item 1.</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
              <w:r>
                <w:rPr>
                  <w:rStyle w:val="InternetLink"/>
                  <w:rFonts w:ascii="Times New Roman;serif" w:hAnsi="Times New Roman;serif"/>
                  <w:b w:val="false"/>
                  <w:color w:val="0000FF"/>
                  <w:sz w:val="20"/>
                  <w:u w:val="single"/>
                </w:rPr>
                <w:t>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3">
              <w:r>
                <w:rPr>
                  <w:rStyle w:val="InternetLink"/>
                  <w:rFonts w:ascii="Times New Roman;serif" w:hAnsi="Times New Roman;serif"/>
                  <w:b w:val="false"/>
                  <w:strike w:val="false"/>
                  <w:dstrike w:val="false"/>
                  <w:color w:val="000000"/>
                  <w:sz w:val="20"/>
                  <w:u w:val="none"/>
                  <w:effect w:val="none"/>
                </w:rPr>
                <w:t>1</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6">
              <w:r>
                <w:rPr>
                  <w:rStyle w:val="InternetLink"/>
                  <w:rFonts w:ascii="Times New Roman;serif" w:hAnsi="Times New Roman;serif"/>
                  <w:b w:val="false"/>
                  <w:color w:val="0000FF"/>
                  <w:sz w:val="20"/>
                  <w:u w:val="single"/>
                </w:rPr>
                <w:t>Condensed Consolidated Statements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6">
              <w:r>
                <w:rPr>
                  <w:rStyle w:val="InternetLink"/>
                  <w:rFonts w:ascii="Times New Roman;serif" w:hAnsi="Times New Roman;serif"/>
                  <w:b w:val="false"/>
                  <w:strike w:val="false"/>
                  <w:dstrike w:val="false"/>
                  <w:color w:val="000000"/>
                  <w:sz w:val="20"/>
                  <w:u w:val="none"/>
                  <w:effect w:val="none"/>
                </w:rPr>
                <w:t>1</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9">
              <w:r>
                <w:rPr>
                  <w:rStyle w:val="InternetLink"/>
                  <w:rFonts w:ascii="Times New Roman;serif" w:hAnsi="Times New Roman;serif"/>
                  <w:b w:val="false"/>
                  <w:color w:val="0000FF"/>
                  <w:sz w:val="20"/>
                  <w:u w:val="single"/>
                </w:rPr>
                <w:t>Condensed Consolidated Statements of Comprehensive (Loss)/Income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9">
              <w:r>
                <w:rPr>
                  <w:rStyle w:val="InternetLink"/>
                  <w:rFonts w:ascii="Times New Roman;serif" w:hAnsi="Times New Roman;serif"/>
                  <w:b w:val="false"/>
                  <w:strike w:val="false"/>
                  <w:dstrike w:val="false"/>
                  <w:color w:val="000000"/>
                  <w:sz w:val="20"/>
                  <w:u w:val="none"/>
                  <w:effect w:val="none"/>
                </w:rPr>
                <w:t>2</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22">
              <w:r>
                <w:rPr>
                  <w:rStyle w:val="InternetLink"/>
                  <w:rFonts w:ascii="Times New Roman;serif" w:hAnsi="Times New Roman;serif"/>
                  <w:b w:val="false"/>
                  <w:color w:val="0000FF"/>
                  <w:sz w:val="20"/>
                  <w:u w:val="single"/>
                </w:rPr>
                <w:t xml:space="preserve">Condensed Consolidated Balance Sheets </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22">
              <w:r>
                <w:rPr>
                  <w:rStyle w:val="InternetLink"/>
                  <w:rFonts w:ascii="Times New Roman;serif" w:hAnsi="Times New Roman;serif"/>
                  <w:b w:val="false"/>
                  <w:strike w:val="false"/>
                  <w:dstrike w:val="false"/>
                  <w:color w:val="000000"/>
                  <w:sz w:val="20"/>
                  <w:u w:val="none"/>
                  <w:effect w:val="none"/>
                </w:rPr>
                <w:t>3</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25">
              <w:r>
                <w:rPr>
                  <w:rStyle w:val="InternetLink"/>
                  <w:rFonts w:ascii="Times New Roman;serif" w:hAnsi="Times New Roman;serif"/>
                  <w:b w:val="false"/>
                  <w:color w:val="0000FF"/>
                  <w:sz w:val="20"/>
                  <w:u w:val="single"/>
                </w:rPr>
                <w:t>Condensed Consolidated Statements of Changes in Shareholders’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25">
              <w:r>
                <w:rPr>
                  <w:rStyle w:val="InternetLink"/>
                  <w:rFonts w:ascii="Times New Roman;serif" w:hAnsi="Times New Roman;serif"/>
                  <w:b w:val="false"/>
                  <w:strike w:val="false"/>
                  <w:dstrike w:val="false"/>
                  <w:color w:val="000000"/>
                  <w:sz w:val="20"/>
                  <w:u w:val="none"/>
                  <w:effect w:val="none"/>
                </w:rPr>
                <w:t>4</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28">
              <w:r>
                <w:rPr>
                  <w:rStyle w:val="InternetLink"/>
                  <w:rFonts w:ascii="Times New Roman;serif" w:hAnsi="Times New Roman;serif"/>
                  <w:b w:val="false"/>
                  <w:color w:val="0000FF"/>
                  <w:sz w:val="20"/>
                  <w:u w:val="single"/>
                </w:rPr>
                <w:t>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28">
              <w:r>
                <w:rPr>
                  <w:rStyle w:val="InternetLink"/>
                  <w:rFonts w:ascii="Times New Roman;serif" w:hAnsi="Times New Roman;serif"/>
                  <w:b w:val="false"/>
                  <w:strike w:val="false"/>
                  <w:dstrike w:val="false"/>
                  <w:color w:val="000000"/>
                  <w:sz w:val="20"/>
                  <w:u w:val="none"/>
                  <w:effect w:val="none"/>
                </w:rPr>
                <w:t>6</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31">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31">
              <w:r>
                <w:rPr>
                  <w:rStyle w:val="InternetLink"/>
                  <w:rFonts w:ascii="Times New Roman;serif" w:hAnsi="Times New Roman;serif"/>
                  <w:b w:val="false"/>
                  <w:strike w:val="false"/>
                  <w:dstrike w:val="false"/>
                  <w:color w:val="000000"/>
                  <w:sz w:val="20"/>
                  <w:u w:val="none"/>
                  <w:effect w:val="none"/>
                </w:rPr>
                <w:t>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94">
              <w:r>
                <w:rPr>
                  <w:rStyle w:val="InternetLink"/>
                  <w:rFonts w:ascii="Times New Roman;serif" w:hAnsi="Times New Roman;serif"/>
                  <w:b w:val="false"/>
                  <w:strike w:val="false"/>
                  <w:dstrike w:val="false"/>
                  <w:color w:val="0000FF"/>
                  <w:sz w:val="20"/>
                  <w:u w:val="none"/>
                  <w:effect w:val="none"/>
                </w:rPr>
                <w:t>Item 2.</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94">
              <w:r>
                <w:rPr>
                  <w:rStyle w:val="InternetLink"/>
                  <w:rFonts w:ascii="Times New Roman;serif" w:hAnsi="Times New Roman;serif"/>
                  <w:b w:val="false"/>
                  <w:strike w:val="false"/>
                  <w:dstrike w:val="false"/>
                  <w:color w:val="000000"/>
                  <w:sz w:val="20"/>
                  <w:u w:val="none"/>
                  <w:effect w:val="none"/>
                </w:rPr>
                <w:t>32</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9">
              <w:r>
                <w:rPr>
                  <w:rStyle w:val="InternetLink"/>
                  <w:rFonts w:ascii="Times New Roman;serif" w:hAnsi="Times New Roman;serif"/>
                  <w:b w:val="false"/>
                  <w:strike w:val="false"/>
                  <w:dstrike w:val="false"/>
                  <w:color w:val="0000FF"/>
                  <w:sz w:val="20"/>
                  <w:u w:val="none"/>
                  <w:effect w:val="none"/>
                </w:rPr>
                <w:t>Item 3</w:t>
              </w:r>
            </w:hyperlink>
            <w:r>
              <w:rPr>
                <w:rFonts w:ascii="Times New Roman;serif" w:hAnsi="Times New Roman;serif"/>
                <w:b w:val="false"/>
                <w:color w:val="0000FF"/>
                <w:sz w:val="20"/>
              </w:rPr>
              <w:t>.</w:t>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21">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21">
              <w:r>
                <w:rPr>
                  <w:rStyle w:val="InternetLink"/>
                  <w:rFonts w:ascii="Times New Roman;serif" w:hAnsi="Times New Roman;serif"/>
                  <w:b w:val="false"/>
                  <w:strike w:val="false"/>
                  <w:dstrike w:val="false"/>
                  <w:color w:val="000000"/>
                  <w:sz w:val="20"/>
                  <w:u w:val="none"/>
                  <w:effect w:val="none"/>
                </w:rPr>
                <w:t>55</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24">
              <w:r>
                <w:rPr>
                  <w:rStyle w:val="InternetLink"/>
                  <w:rFonts w:ascii="Times New Roman;serif" w:hAnsi="Times New Roman;serif"/>
                  <w:b w:val="false"/>
                  <w:strike w:val="false"/>
                  <w:dstrike w:val="false"/>
                  <w:color w:val="0000FF"/>
                  <w:sz w:val="20"/>
                  <w:u w:val="none"/>
                  <w:effect w:val="none"/>
                </w:rPr>
                <w:t>Item 4</w:t>
              </w:r>
            </w:hyperlink>
            <w:r>
              <w:rPr>
                <w:rFonts w:ascii="Times New Roman;serif" w:hAnsi="Times New Roman;serif"/>
                <w:b w:val="false"/>
                <w:color w:val="0000FF"/>
                <w:sz w:val="20"/>
              </w:rPr>
              <w:t>.</w:t>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24">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24">
              <w:r>
                <w:rPr>
                  <w:rStyle w:val="InternetLink"/>
                  <w:rFonts w:ascii="Times New Roman;serif" w:hAnsi="Times New Roman;serif"/>
                  <w:b w:val="false"/>
                  <w:strike w:val="false"/>
                  <w:dstrike w:val="false"/>
                  <w:color w:val="000000"/>
                  <w:sz w:val="20"/>
                  <w:u w:val="none"/>
                  <w:effect w:val="none"/>
                </w:rPr>
                <w:t>56</w:t>
              </w:r>
            </w:hyperlink>
          </w:p>
        </w:tc>
      </w:tr>
      <w:t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85d8b002594243e7b51da769cf4c7d6e_127">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0">
              <w:r>
                <w:rPr>
                  <w:rStyle w:val="InternetLink"/>
                  <w:rFonts w:ascii="Times New Roman;serif" w:hAnsi="Times New Roman;serif"/>
                  <w:b w:val="false"/>
                  <w:strike w:val="false"/>
                  <w:dstrike w:val="false"/>
                  <w:color w:val="0000FF"/>
                  <w:sz w:val="20"/>
                  <w:u w:val="none"/>
                  <w:effect w:val="none"/>
                </w:rPr>
                <w:t>Item 1.</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0">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30">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3">
              <w:r>
                <w:rPr>
                  <w:rStyle w:val="InternetLink"/>
                  <w:rFonts w:ascii="Times New Roman;serif" w:hAnsi="Times New Roman;serif"/>
                  <w:b w:val="false"/>
                  <w:strike w:val="false"/>
                  <w:dstrike w:val="false"/>
                  <w:color w:val="0000FF"/>
                  <w:sz w:val="20"/>
                  <w:u w:val="none"/>
                  <w:effect w:val="none"/>
                </w:rPr>
                <w:t>Item 1A.</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3">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33">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6">
              <w:r>
                <w:rPr>
                  <w:rStyle w:val="InternetLink"/>
                  <w:rFonts w:ascii="Times New Roman;serif" w:hAnsi="Times New Roman;serif"/>
                  <w:b w:val="false"/>
                  <w:strike w:val="false"/>
                  <w:dstrike w:val="false"/>
                  <w:color w:val="0000FF"/>
                  <w:sz w:val="20"/>
                  <w:u w:val="none"/>
                  <w:effect w:val="none"/>
                </w:rPr>
                <w:t>Item 2.</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6">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36">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9">
              <w:r>
                <w:rPr>
                  <w:rStyle w:val="InternetLink"/>
                  <w:rFonts w:ascii="Times New Roman;serif" w:hAnsi="Times New Roman;serif"/>
                  <w:b w:val="false"/>
                  <w:strike w:val="false"/>
                  <w:dstrike w:val="false"/>
                  <w:color w:val="0000FF"/>
                  <w:sz w:val="20"/>
                  <w:u w:val="none"/>
                  <w:effect w:val="none"/>
                </w:rPr>
                <w:t>Item 3.</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39">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39">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2">
              <w:r>
                <w:rPr>
                  <w:rStyle w:val="InternetLink"/>
                  <w:rFonts w:ascii="Times New Roman;serif" w:hAnsi="Times New Roman;serif"/>
                  <w:b w:val="false"/>
                  <w:strike w:val="false"/>
                  <w:dstrike w:val="false"/>
                  <w:color w:val="0000FF"/>
                  <w:sz w:val="20"/>
                  <w:u w:val="none"/>
                  <w:effect w:val="none"/>
                </w:rPr>
                <w:t>Item 4.</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2">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42">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5">
              <w:r>
                <w:rPr>
                  <w:rStyle w:val="InternetLink"/>
                  <w:rFonts w:ascii="Times New Roman;serif" w:hAnsi="Times New Roman;serif"/>
                  <w:b w:val="false"/>
                  <w:strike w:val="false"/>
                  <w:dstrike w:val="false"/>
                  <w:color w:val="0000FF"/>
                  <w:sz w:val="20"/>
                  <w:u w:val="none"/>
                  <w:effect w:val="none"/>
                </w:rPr>
                <w:t>Item 5.</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5">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45">
              <w:r>
                <w:rPr>
                  <w:rStyle w:val="InternetLink"/>
                  <w:rFonts w:ascii="Times New Roman;serif" w:hAnsi="Times New Roman;serif"/>
                  <w:b w:val="false"/>
                  <w:strike w:val="false"/>
                  <w:dstrike w:val="false"/>
                  <w:color w:val="000000"/>
                  <w:sz w:val="20"/>
                  <w:u w:val="none"/>
                  <w:effect w:val="none"/>
                </w:rPr>
                <w:t>57</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8">
              <w:r>
                <w:rPr>
                  <w:rStyle w:val="InternetLink"/>
                  <w:rFonts w:ascii="Times New Roman;serif" w:hAnsi="Times New Roman;serif"/>
                  <w:b w:val="false"/>
                  <w:strike w:val="false"/>
                  <w:dstrike w:val="false"/>
                  <w:color w:val="0000FF"/>
                  <w:sz w:val="20"/>
                  <w:u w:val="none"/>
                  <w:effect w:val="none"/>
                </w:rPr>
                <w:t>Item 6.</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48">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48">
              <w:r>
                <w:rPr>
                  <w:rStyle w:val="InternetLink"/>
                  <w:rFonts w:ascii="Times New Roman;serif" w:hAnsi="Times New Roman;serif"/>
                  <w:b w:val="false"/>
                  <w:strike w:val="false"/>
                  <w:dstrike w:val="false"/>
                  <w:color w:val="000000"/>
                  <w:sz w:val="20"/>
                  <w:u w:val="none"/>
                  <w:effect w:val="none"/>
                </w:rPr>
                <w:t>58</w:t>
              </w:r>
            </w:hyperlink>
          </w:p>
        </w:tc>
      </w:tr>
      <w:t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85d8b002594243e7b51da769cf4c7d6e_151">
              <w:r>
                <w:rPr>
                  <w:rStyle w:val="InternetLink"/>
                  <w:rFonts w:ascii="Times New Roman;serif" w:hAnsi="Times New Roman;serif"/>
                  <w:b/>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5d8b002594243e7b51da769cf4c7d6e_151">
              <w:r>
                <w:rPr>
                  <w:rStyle w:val="InternetLink"/>
                  <w:rFonts w:ascii="Times New Roman;serif" w:hAnsi="Times New Roman;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6938"/>
          <w:sz w:val="22"/>
        </w:rPr>
      </w:pPr>
      <w:r>
        <w:rPr>
          <w:rFonts w:ascii="Times New Roman;serif" w:hAnsi="Times New Roman;serif"/>
          <w:b/>
          <w:color w:val="006938"/>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pPr>
      <w:r>
        <w:rPr>
          <w:rFonts w:ascii="Times New Roman;serif" w:hAnsi="Times New Roman;serif"/>
          <w:b/>
          <w:color w:val="006938"/>
          <w:sz w:val="20"/>
        </w:rPr>
        <w:t>Item 1.</w:t>
      </w:r>
      <w:r>
        <w:rPr>
          <w:color w:val="006938"/>
        </w:rPr>
        <w:t xml:space="preserve"> </w:t>
      </w:r>
      <w:r>
        <w:rPr>
          <w:rFonts w:ascii="Times New Roman;serif" w:hAnsi="Times New Roman;serif"/>
          <w:b/>
          <w:color w:val="006938"/>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140"/>
        <w:gridCol w:w="743"/>
        <w:gridCol w:w="748"/>
        <w:gridCol w:w="296"/>
        <w:gridCol w:w="1163"/>
        <w:gridCol w:w="153"/>
        <w:gridCol w:w="109"/>
        <w:gridCol w:w="109"/>
        <w:gridCol w:w="109"/>
        <w:gridCol w:w="296"/>
        <w:gridCol w:w="1163"/>
        <w:gridCol w:w="153"/>
        <w:gridCol w:w="109"/>
        <w:gridCol w:w="109"/>
        <w:gridCol w:w="109"/>
        <w:gridCol w:w="296"/>
        <w:gridCol w:w="1163"/>
        <w:gridCol w:w="153"/>
        <w:gridCol w:w="109"/>
        <w:gridCol w:w="109"/>
        <w:gridCol w:w="109"/>
        <w:gridCol w:w="275"/>
        <w:gridCol w:w="1274"/>
        <w:gridCol w:w="208"/>
      </w:tblGrid>
      <w:tr>
        <w:tc>
          <w:tcPr>
            <w:tcW w:w="1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 (39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 (39 weeks)</w:t>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313,618 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365,701 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986,730 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1,103,557 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328,758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375,298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1,026,787</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1,130,249</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96,214 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260,173 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279,577 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151,225 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195,939 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498,200 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605,494 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54,628 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49,393 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166,356 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171,718 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34,220 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411,899 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Gain on refranchising, net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expense/(income), net</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(9,781)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(16,854)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26,728 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85,850 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103,129 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(8,965)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(7,180)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(23,566)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(462,000)</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42,188 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49,250 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expense/(income), net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(22,176)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(22,947)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(65,356)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(520,590)</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(8,861)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(25,936)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(13,315)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(20,131)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(55,819)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(494,654)</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(13,358)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(19,444)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(56,453)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(487,988)</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173,478 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171,164 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172,692 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170,752 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173,478 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171,164 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172,692 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170,752 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(Loss)/Income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1173"/>
        <w:gridCol w:w="972"/>
        <w:gridCol w:w="990"/>
        <w:gridCol w:w="289"/>
        <w:gridCol w:w="1053"/>
        <w:gridCol w:w="149"/>
        <w:gridCol w:w="109"/>
        <w:gridCol w:w="109"/>
        <w:gridCol w:w="109"/>
        <w:gridCol w:w="289"/>
        <w:gridCol w:w="1053"/>
        <w:gridCol w:w="149"/>
        <w:gridCol w:w="109"/>
        <w:gridCol w:w="109"/>
        <w:gridCol w:w="109"/>
        <w:gridCol w:w="289"/>
        <w:gridCol w:w="1053"/>
        <w:gridCol w:w="149"/>
        <w:gridCol w:w="109"/>
        <w:gridCol w:w="109"/>
        <w:gridCol w:w="109"/>
        <w:gridCol w:w="274"/>
        <w:gridCol w:w="1132"/>
        <w:gridCol w:w="210"/>
      </w:tblGrid>
      <w:tr>
        <w:tc>
          <w:tcPr>
            <w:tcW w:w="117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 (39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 (39 weeks)</w:t>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(13,315)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(55,819)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(494,654)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income taxes: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pPr>
            <w:r>
              <w:rPr>
                <w:rFonts w:ascii="Times New Roman;serif" w:hAnsi="Times New Roman;serif"/>
                <w:b w:val="false"/>
                <w:color w:val="000000"/>
                <w:sz w:val="20"/>
              </w:rPr>
              <w:t xml:space="preserve">Unrealized income/(loss) on cash flow hedges, net of income taxes </w:t>
            </w:r>
            <w:r>
              <w:rPr>
                <w:rFonts w:ascii="Times New Roman;serif" w:hAnsi="Times New Roman;serif"/>
                <w:b w:val="false"/>
                <w:color w:val="000000"/>
                <w:sz w:val="10"/>
              </w:rPr>
              <w:t>(1)</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ind w:left="0" w:right="0" w:hanging="270"/>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5,030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14,166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23,267</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(8,285)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(24,718)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(41,653)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(471,387)</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income/(loss) attributable to noncontrolling interest</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43</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412</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(6,258)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Krispy Kreme, Inc.</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(8,328)</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(23,698)</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(42,065)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(465,129)</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of income tax (expense)/benefit of ($2.0 million) and ($3.9 million) for the quarter and three quarters ended September 27, 2026, respectively, and $0.1 million and $2.2 million for the quarter and three quarters ended September 28, 2025, respectively.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0205" w:type="dxa"/>
        <w:jc w:val="center"/>
        <w:tblInd w:w="0" w:type="dxa"/>
        <w:tblLayout w:type="fixed"/>
        <w:tblCellMar>
          <w:top w:w="28" w:type="dxa"/>
          <w:left w:w="28" w:type="dxa"/>
          <w:bottom w:w="28" w:type="dxa"/>
          <w:right w:w="28" w:type="dxa"/>
        </w:tblCellMar>
      </w:tblPr>
      <w:tblGrid>
        <w:gridCol w:w="2904"/>
        <w:gridCol w:w="2056"/>
        <w:gridCol w:w="2023"/>
        <w:gridCol w:w="247"/>
        <w:gridCol w:w="1162"/>
        <w:gridCol w:w="127"/>
        <w:gridCol w:w="109"/>
        <w:gridCol w:w="109"/>
        <w:gridCol w:w="109"/>
        <w:gridCol w:w="211"/>
        <w:gridCol w:w="991"/>
        <w:gridCol w:w="157"/>
      </w:tblGrid>
      <w:tr>
        <w:tc>
          <w:tcPr>
            <w:tcW w:w="2904"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c>
          <w:tcPr>
            <w:tcW w:w="6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 September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180,869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174,454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2,359,423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2,592,959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SHAREHOLDERS’ EQUITY</w:t>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466,846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457,280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1,743,362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1,915,998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mezzanine equity</w:t>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24,181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$0.01 par value; 300,000 shares authorized as of both September 27, 2026 and December 28, 2025; 173,714 and 171,555 shares issued and outstanding as of September 27, 2026 and December 28, 2025, respectively</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income tax</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 attributable to Krispy Kreme, Inc.</w:t>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614,294</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650,123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616,061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652,780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2,359,423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2,592,959</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4365" w:type="dxa"/>
        <w:jc w:val="left"/>
        <w:tblInd w:w="0" w:type="dxa"/>
        <w:tblLayout w:type="fixed"/>
        <w:tblCellMar>
          <w:top w:w="28" w:type="dxa"/>
          <w:left w:w="28" w:type="dxa"/>
          <w:bottom w:w="28" w:type="dxa"/>
          <w:right w:w="28" w:type="dxa"/>
        </w:tblCellMar>
      </w:tblPr>
      <w:tblGrid>
        <w:gridCol w:w="664"/>
        <w:gridCol w:w="268"/>
        <w:gridCol w:w="269"/>
        <w:gridCol w:w="375"/>
        <w:gridCol w:w="376"/>
        <w:gridCol w:w="336"/>
        <w:gridCol w:w="109"/>
        <w:gridCol w:w="109"/>
        <w:gridCol w:w="109"/>
        <w:gridCol w:w="196"/>
        <w:gridCol w:w="571"/>
        <w:gridCol w:w="109"/>
        <w:gridCol w:w="109"/>
        <w:gridCol w:w="109"/>
        <w:gridCol w:w="109"/>
        <w:gridCol w:w="196"/>
        <w:gridCol w:w="886"/>
        <w:gridCol w:w="109"/>
        <w:gridCol w:w="109"/>
        <w:gridCol w:w="109"/>
        <w:gridCol w:w="109"/>
        <w:gridCol w:w="221"/>
        <w:gridCol w:w="645"/>
        <w:gridCol w:w="125"/>
        <w:gridCol w:w="109"/>
        <w:gridCol w:w="109"/>
        <w:gridCol w:w="109"/>
        <w:gridCol w:w="211"/>
        <w:gridCol w:w="616"/>
        <w:gridCol w:w="119"/>
        <w:gridCol w:w="109"/>
        <w:gridCol w:w="109"/>
        <w:gridCol w:w="109"/>
        <w:gridCol w:w="196"/>
        <w:gridCol w:w="581"/>
        <w:gridCol w:w="109"/>
        <w:gridCol w:w="109"/>
        <w:gridCol w:w="109"/>
        <w:gridCol w:w="109"/>
        <w:gridCol w:w="234"/>
        <w:gridCol w:w="521"/>
        <w:gridCol w:w="131"/>
        <w:gridCol w:w="109"/>
        <w:gridCol w:w="109"/>
        <w:gridCol w:w="109"/>
        <w:gridCol w:w="196"/>
        <w:gridCol w:w="751"/>
        <w:gridCol w:w="109"/>
        <w:gridCol w:w="109"/>
        <w:gridCol w:w="109"/>
        <w:gridCol w:w="109"/>
        <w:gridCol w:w="268"/>
        <w:gridCol w:w="782"/>
        <w:gridCol w:w="151"/>
        <w:gridCol w:w="109"/>
        <w:gridCol w:w="109"/>
        <w:gridCol w:w="109"/>
        <w:gridCol w:w="196"/>
        <w:gridCol w:w="751"/>
        <w:gridCol w:w="154"/>
      </w:tblGrid>
      <w:t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w:t>
              <w:br/>
              <w:t>Note</w:t>
              <w:br/>
              <w:t xml:space="preserve">Receivable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Income/(Loss)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Retained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b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br/>
              <w:t>Income/(Loss) on</w:t>
              <w:br/>
              <w:t>Cash Flow</w:t>
              <w:br/>
              <w:t xml:space="preserve">Hedges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 on Employee</w:t>
              <w:br/>
              <w:t xml:space="preserve">Benefit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p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28,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6"/>
              </w:rPr>
              <w:t>171,555</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(1,791)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4,670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(821,387)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2,657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652,779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March 29, 2026</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for the quarter ended March 29, 2026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by shareholders, net of loans issued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shares of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to redemption value of redeemable noncontrolling interest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29,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172,280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1,471,361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7,130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(844,171)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633,263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June 28, 2026</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for the quarter ended June 28, 2026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shareholders, net of loans issued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172,744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1,474,652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8,318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(864,482)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1,724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619,779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for the quarter ended September 27, 2026</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(loss)/income for the quarter ended September 27, 2026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27,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173,714</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1,479,210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(1,140)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9,870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(877,840)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1,767</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616,061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4520" w:type="dxa"/>
        <w:jc w:val="left"/>
        <w:tblInd w:w="0" w:type="dxa"/>
        <w:tblLayout w:type="fixed"/>
        <w:tblCellMar>
          <w:top w:w="28" w:type="dxa"/>
          <w:left w:w="28" w:type="dxa"/>
          <w:bottom w:w="28" w:type="dxa"/>
          <w:right w:w="28" w:type="dxa"/>
        </w:tblCellMar>
      </w:tblPr>
      <w:tblGrid>
        <w:gridCol w:w="664"/>
        <w:gridCol w:w="268"/>
        <w:gridCol w:w="269"/>
        <w:gridCol w:w="375"/>
        <w:gridCol w:w="376"/>
        <w:gridCol w:w="336"/>
        <w:gridCol w:w="109"/>
        <w:gridCol w:w="109"/>
        <w:gridCol w:w="109"/>
        <w:gridCol w:w="196"/>
        <w:gridCol w:w="571"/>
        <w:gridCol w:w="109"/>
        <w:gridCol w:w="109"/>
        <w:gridCol w:w="109"/>
        <w:gridCol w:w="109"/>
        <w:gridCol w:w="196"/>
        <w:gridCol w:w="886"/>
        <w:gridCol w:w="109"/>
        <w:gridCol w:w="109"/>
        <w:gridCol w:w="109"/>
        <w:gridCol w:w="109"/>
        <w:gridCol w:w="221"/>
        <w:gridCol w:w="645"/>
        <w:gridCol w:w="125"/>
        <w:gridCol w:w="109"/>
        <w:gridCol w:w="109"/>
        <w:gridCol w:w="109"/>
        <w:gridCol w:w="196"/>
        <w:gridCol w:w="661"/>
        <w:gridCol w:w="109"/>
        <w:gridCol w:w="109"/>
        <w:gridCol w:w="109"/>
        <w:gridCol w:w="109"/>
        <w:gridCol w:w="206"/>
        <w:gridCol w:w="571"/>
        <w:gridCol w:w="109"/>
        <w:gridCol w:w="109"/>
        <w:gridCol w:w="109"/>
        <w:gridCol w:w="109"/>
        <w:gridCol w:w="234"/>
        <w:gridCol w:w="521"/>
        <w:gridCol w:w="131"/>
        <w:gridCol w:w="109"/>
        <w:gridCol w:w="109"/>
        <w:gridCol w:w="109"/>
        <w:gridCol w:w="196"/>
        <w:gridCol w:w="751"/>
        <w:gridCol w:w="109"/>
        <w:gridCol w:w="109"/>
        <w:gridCol w:w="109"/>
        <w:gridCol w:w="109"/>
        <w:gridCol w:w="243"/>
        <w:gridCol w:w="821"/>
        <w:gridCol w:w="137"/>
        <w:gridCol w:w="109"/>
        <w:gridCol w:w="109"/>
        <w:gridCol w:w="109"/>
        <w:gridCol w:w="196"/>
        <w:gridCol w:w="886"/>
        <w:gridCol w:w="154"/>
      </w:tblGrid>
      <w:t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w:t>
              <w:br/>
              <w:t>Note</w:t>
              <w:br/>
              <w:t xml:space="preserve">Receivable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Retained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b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br/>
              <w:t>Income/(Loss) on</w:t>
              <w:br/>
              <w:t>Cash Flow</w:t>
              <w:br/>
              <w:t xml:space="preserve">Hedges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 on Employee</w:t>
              <w:br/>
              <w:t xml:space="preserve">Benefit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p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29,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6"/>
              </w:rPr>
              <w:t>170,060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1,466,508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2,598</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1,137,135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March 30, 2025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(loss)/income for the quarter ended March 30, 2025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stock and equivalents ($0.035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to redemption value of redeemable noncontrolling interest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30,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170,300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1,464,593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(338,891)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2,296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1,099,637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June 29, 2025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for the quarter ended June 29, 2025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stock and equivalents ($0.035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29,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170,964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1,468,555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687,183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September 28, 2025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for the quarter ended September 28, 2025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28,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171,244</w:t>
            </w: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1,468,928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(793,608)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(10,114)</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655,862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2254"/>
        <w:gridCol w:w="1981"/>
        <w:gridCol w:w="1992"/>
        <w:gridCol w:w="345"/>
        <w:gridCol w:w="1245"/>
        <w:gridCol w:w="191"/>
        <w:gridCol w:w="109"/>
        <w:gridCol w:w="109"/>
        <w:gridCol w:w="109"/>
        <w:gridCol w:w="318"/>
        <w:gridCol w:w="1295"/>
        <w:gridCol w:w="257"/>
      </w:tblGrid>
      <w:tr>
        <w:tc>
          <w:tcPr>
            <w:tcW w:w="225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6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6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 (39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 (39 weeks)</w:t>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OPERATING ACTIVITIES:</w:t>
            </w:r>
          </w:p>
        </w:tc>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(494,654)</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by/(used for) operating activities:</w:t>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 impairments and lease termination charges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Insomnia Cookies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refranchising, net</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acquisition of equity method investment</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sale-leaseback</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and notes receivable allowances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write-off</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excluding business acquisitions and divestitures, and foreign currency translation adjustments:</w:t>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obligations and deferred credits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operating activities</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18,670</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(11,095)</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 INVESTING ACTIVITIES:</w:t>
            </w:r>
          </w:p>
        </w:tc>
        <w:tc>
          <w:tcPr>
            <w:tcW w:w="1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assets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sale-leaseback</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refranchising transactions</w:t>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Purchase/proceeds of equity method investment</w:t>
            </w:r>
          </w:p>
        </w:tc>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w:t>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minority interests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divestiture of Insomnia Cookies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received from loans to franchisees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redeemable noncontrolling interest</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55,868</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3,419</w:t>
            </w: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(USED FOR)/PROVIDED BY FINANCING ACTIVITIES:</w:t>
            </w:r>
          </w:p>
        </w:tc>
        <w:tc>
          <w:tcPr>
            <w:tcW w:w="1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debt</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661,026 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obligations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(606,581)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costs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structured payables</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242,350 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structured payables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(270,418)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 by shareholders, net of loans issued</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shareholders</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repurchase and retirement of common stock</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for)/provided by financing activities</w:t>
            </w:r>
          </w:p>
        </w:tc>
        <w:tc>
          <w:tcPr>
            <w:tcW w:w="1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(86,765)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12,398</w:t>
            </w: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(decrease)/increase in cash, cash equivalents and restricted cash</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30,768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31,152</w:t>
            </w: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accrual for property and equipment</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issued in connection with refranchising</w:t>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at end of period:</w:t>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30,768</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31,152</w:t>
            </w: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(dollars in thousands, unless otherwise specified)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pPr>
      <w:r>
        <w:rPr>
          <w:rFonts w:ascii="Times New Roman;serif" w:hAnsi="Times New Roman;serif"/>
          <w:b/>
          <w:color w:val="006938"/>
          <w:sz w:val="20"/>
        </w:rPr>
        <w:t>Note 1 — Description of Business and Summary of Significant Accounting Policies</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Krispy Kreme, Inc. (“KKI”) and its subsidiaries (collectively, the “Company” or “Krispy Kreme”) operate through an omni-channel business model to produce doughnuts and deliver fresh doughnut experiences for Doughnut Shops, fresh delivery doors, and digital channels, expanding consumer access to the Krispy Kreme brand. </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color w:val="000000"/>
          <w:sz w:val="20"/>
        </w:rPr>
        <w:t xml:space="preserve">The Company has three reportable operating segments: 1) U.S., which includes all Company-owned operations in the U.S., and W.K.S. Krispy Kreme, LLC (“W.K.S. Krispy Kreme”) through the date of deconsolidation; 2) International, which includes Company-owned operations in the U.K., Ireland, Australia, New Zealand, Mexico, and Canada, as well as Japan through the date of disposition; and 3) Market Development, which includes franchise operations across the globe, including Krispy Kreme Doughnut Japan Co., Ltd (“Krispy Kreme Japan”) after March 2, 2026 and W.K.S. Krispy Kreme after March 23, 2026, and also includes Company-owned operations in France through Krispy Kreme Doughnuts France SAS (“Krispy Kreme France”) after May 25, 2026. 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 and the Company’s acquisition of Krispy Kreme France. Unallocated corporate costs are excluded from the Company’s measurement of segment performance.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and reports financial information on a 52- or 53-week year with the fiscal year ending on the Sunday closest to December 31. The quarters ended September 27, 2026 and September 28, 2025 were both 13-week periods.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KKI and its subsidiaries and have been prepared in accordance with accounting principles generally accepted in the United States of America (“GAAP”) for interim financial information and pursuant to the rules and regulations of the U.S. Securities and Exchange Commission (“SEC”). Accordingly, these interim financial statements do not include all information and footnotes required under GAAP for complete financial statements. In the opinion of management, the accompanying unaudited Condensed Consolidated Financial Statements contain all adjustments, consisting of only normal recurring adjustments, necessary for a fair statement of results of operations, balance sheet, cash flows, and shareholders’ equity for the periods presented. All significant intercompany balances and transactions among KKI and its subsidiaries have been eliminated in consolidation. Investments in entities over which the Company has the ability to exercise significant influence but which it does not control and whose financial statements are not otherwise required to be consolidated, are accounted for using the equity method.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should be read in conjunction with the Consolidated Financial Statements and notes thereto as of and for the year ended December 28, 2025, included in KKI’s Annual Report on Form 10-K for the year then ended (the “Annual Report on Form 10-K”). The Condensed Consolidated Balance Sheet as of December 28, 2025 was derived from audited annual financial statements but does not contain all of the footnote disclosures from the annual financial statements. The results of operations for the quarter and three quarters ended September 27, 2026 are not necessarily indicative of the results of operations that may be achieved for the entire fiscal year ending January 3, 2027.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 in the Company’s Condensed Consolidated Financial Statements represents the interest in subsidiaries held by employee shareholders, most of which were purchased by the Company during the quarter ended March 29, 2026. Employee shareholders held noncontrolling interests in the consolidated subsidiaries Krispy Kreme Holdings Pty Ltd. (“KK Australia”), Krispy Kreme Mexico Holding S.A.P.I. de C.V. (“KK Mexico”), and Krispy Kreme Japan prior to disposition. Since the Company consolidates the financial statements of these subsidiaries, the noncontrolling owners’ share of net assets and results of operations are deducted and reported as noncontrolling interest in the Condensed Consolidated Balance Sheets and as net income/(loss) attributable to noncontrolling interest in the Condensed Consolidated Statements of Operations and comprehensive income attributable to noncontrolling interest in the Condensed Consolidated Statements of Comprehensive Loss/(Income).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Summary of Significant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1, Description of Business and Summary of Significant Accounting Policies, to the Consolidated Financial Statements for the year ended December 28, 2025 included in the Annual Report on Form 10-K. There were no material changes to the significant accounting policies during the quarter ended September 27,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Termination of the Business Relationship Agreement with McDonald’s USA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24, 2025, the Company and McDonald’s USA, LLC (“McDonald’s USA”) announced that the companies had jointly decided to terminate the Business Relationship Agreement between Krispy Kreme Doughnut Corporation and McDonald’s USA (the “Business Relationship Agreement”) effective July 2, 2025 (the “Termination Effective Date”). Effective as of the Termination Effective Date, neither party has any further obligations to the other party under the Business Relationship Agreement except for obligations related to confidentiality, indemnification, and certain other miscellaneous provisions that expressly survive termination.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Goodwill and Other Asset Impairments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net assets acquired in a business combination. For each reporting unit, the Company assesses goodwill for impairment annually at the beginning of the fourth quarter or more frequently when impairment indicators are present. If the carrying value of the reporting unit exceeds its fair value, the Company recognizes an impairment charge for the difference up to the carrying value of the allocated 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29, 2025, management identified impairment indicators that required a quantitative assessment of goodwill outside of management’s routine annual assessment. These indicators included that during the two quarters ended June 29, 2025, the Company experienced a decline in its stock price and market capitalization, which became significant and sustained during the quarter ended June 29, 2025. In addition, the Company’s operating results for the quarter were below previous forecasts. Lastly, the Company updated its forecasts for the full year following termination of the Business Relationship Agreement with McDonald’s USA during the quarter, and the updated forecasts were below previous forecasts. After completing the quantitative impairment test, management concluded that the estimated fair values of the U.S., Krispy Kreme Holding U.K. Ltd. (“KK U.K.”), and KK Australia reporting units had declined below their carrying values, and management recognized a cumulative, non-cash, partial goodwill impairment charge of $356.0 million (gross of income taxes) in the quarter ended June 29,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reporting units were based on estimates and assumptions that are considered Level 3 inputs under the fair value hierarchy. In estimating the fair values of the reporting units, management reconciles the fair value of the Company to the Company’s market capitalization. Consistent with the quantitative assessment for the fiscal year ended December 29, 2024, management utilized a discounted cash flow approach and a market approach to determine fair values, allocating 50% to each approach. These calculations require management to make assumptions and to apply judgment when estimating future cash flows and asset fair values, including projected revenue growth and operating expenses related to existing businesses, product innovation, and new shop concepts, as well as selecting valuation multiples of similar publicly traded companies and an appropriate discount rate. Estimates of revenue growth and operating expenses were based on internal projections that considered the reporting unit’s past performance and forecasted growth, strategic initiatives, local market economics, and the local business environment impacting the reporting unit’s performance. The discount rate was selected based on the estimated cost of capital for a market participant to operate the reporting unit in the region. These estimates, as well as the selection of comparable companies and valuation multiples used in the market approaches were highly subjective, and the Company’s ability to realize the future cash flows used in management’s fair value calculations was affected by factors such as the success of strategic initiatives, changes in economic conditions, changes in operating performance, and changes in business strategies, including retail initiatives and international expansion. For the discounted cash flow approach, management applied discount rates to management’s projected cash flows of approximately 10.0%, 12.0%, and 12.0% for the U.S., KK U.K., and KK Australia reporting units,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the Company’s future performance varies from current expectations, assumptions, or estimates this may impact the impairment analysis and could reduce the underlying cash flows used to estimate fair values, resulting in a decline in fair value that may result in future impairment charges. Management will continue to monitor developments, including updates to forecasts and the Company’s market capitalization. Goodwill impairment assessment may be required in the future which could result in updates to goodwill and related estimates in the future.</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Company terminated its Business Relationship Agreement with McDonald’s USA during the quarter ended June 29, 2025. During the three quarters ended September 28, 2025, as a result of the termination and management’s updated forecasts, the Company recorded non-cash long-lived asset impairment charges of $26.7 million and non-cash lease impairment and termination costs of $29.2 million. These impairment charges, along with the goodwill impairment, are included in Goodwill and other asset impairments in the Condensed Consolidated Statements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goodwill and other asset impairments did not have an impact on the Company’s compliance with the financial covenants under the Company’s debt arrangements.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reflect all adjustments that, in the opinion of management, are necessary for a fair presentation of results of operations and financial condition for the interim periods shown, consisting of normal recurring adjustments, unless otherwise disclosed. Certain amounts in prior periods previously reported in the Condensed Consolidated Statements of Cash Flows in the Company’s Quarterly Report on Form 10-Q for the period ended September 28, 2025 (the “Q3 2025 Form 10-Q”) have been reclassified to conform to the current period presentation. The Company believes that the disclosures are adequate to make the information presented not misleading and should be read in conjunction with the unaudited Condensed Consolidated Financial Statements and related footnotes contained in the Q3 2025 Form 10-Q.</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240" w:after="283"/>
        <w:jc w:val="both"/>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(Subtopic 220-40): Disaggregation of Income Statement Expenses</w:t>
      </w:r>
      <w:r>
        <w:rPr>
          <w:rFonts w:ascii="Times New Roman;serif" w:hAnsi="Times New Roman;serif"/>
          <w:b w:val="false"/>
          <w:color w:val="000000"/>
          <w:sz w:val="20"/>
        </w:rPr>
        <w:t>, which requires a public business entity (“PBE”) to disclose in the notes to the financial statements, at each interim and annual reporting period, specified information about certain costs and expenses, including (a) purchases of inventory, (b) employee compensation, (c) depreciation, (d) intangible asset amortization, and (e) depreciation, depletion, and amortization recognized as part of oil and gas-producing activities, for each income statement line item that contains those expenses. For PBEs, the ASU is effective for fiscal years beginning after December 15, 2026, and interim periods within fiscal years beginning after December 15, 2027. An entity may apply the amendments in this ASU prospectively or retrospectively. The Company expects this ASU to impact its expense disclosures, but with no impacts to its results of operations, cash flows, and financial condition.</w:t>
      </w:r>
    </w:p>
    <w:p>
      <w:pPr>
        <w:pStyle w:val="TextBody"/>
        <w:bidi w:val="0"/>
        <w:spacing w:lineRule="auto" w:line="288" w:before="240" w:after="283"/>
        <w:jc w:val="both"/>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(Subtopic 350-40): Targeted Improvements to the Accounting for Internal-Use Software, </w:t>
      </w:r>
      <w:r>
        <w:rPr>
          <w:rFonts w:ascii="Times New Roman;serif" w:hAnsi="Times New Roman;serif"/>
          <w:b w:val="false"/>
          <w:color w:val="000000"/>
          <w:sz w:val="20"/>
        </w:rPr>
        <w:t xml:space="preserve">which clarifies and modernizes the accounting for costs related to internal-use software. The guidance removes all references to project stages in Accounting Standards Codification (“ASC”)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and clarifies the threshold entities apply to begin capitalizing costs. The new guidance requires an entity to start capitalizing software costs when (a) management has authorized and committed to funding the software project, and (b) it is probable that the project will be completed and the software will be used to perform the function intended. For PBEs, the ASU is effective for annual periods beginning after December 15, 2027, and interim periods within those annual periods, with early adoption permitted. Entities may apply the amendments in this ASU using a prospective, retrospective, or modified transition approach. The Company does not expect this ASU to materially impact its results of operations, cash flows, and financial condition.</w:t>
      </w:r>
    </w:p>
    <w:p>
      <w:pPr>
        <w:pStyle w:val="TextBody"/>
        <w:bidi w:val="0"/>
        <w:spacing w:lineRule="auto" w:line="288" w:before="240" w:after="283"/>
        <w:jc w:val="both"/>
      </w:pPr>
      <w:r>
        <w:rPr>
          <w:rFonts w:ascii="Times New Roman;serif" w:hAnsi="Times New Roman;serif"/>
          <w:b w:val="false"/>
          <w:color w:val="000000"/>
          <w:sz w:val="20"/>
        </w:rPr>
        <w:t>In December 2025, the FASB issued ASU 2025-11,</w:t>
      </w:r>
      <w:r>
        <w:rPr>
          <w:color w:val="000000"/>
        </w:rPr>
        <w:t xml:space="preserve">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which centralizes interim disclosure requirements and codifies a “disclosure principle” requiring an explanation of material changes occurring since the most recent annual period. As the Company currently adheres to similar requirements under SEC Regulation S-X Rule 8-03, the adoption of this guidance is not expected to significantly change current interim reporting practices. The amendments are effective for the Company for interim periods within fiscal years beginning after December 15, 2027, with early adoption permitted. The Company expects to adopt this guidance prospectively and does not anticipate that the adoption will have a material impact on its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6938"/>
          <w:sz w:val="20"/>
        </w:rPr>
      </w:pPr>
      <w:r>
        <w:rPr>
          <w:rFonts w:ascii="Times New Roman;serif" w:hAnsi="Times New Roman;serif"/>
          <w:b/>
          <w:color w:val="006938"/>
          <w:sz w:val="20"/>
        </w:rPr>
        <w:t>Note 2 — Revision of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Revision of Previously Issued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preparation of the financial statements for the year ended December 28, 2025, the Company identified and corrected the classification and accounting treatment for the redeemable noncontrolling interests in W.K.S. Krispy Kreme and KK Canada AcquisitionCo Inc. (“KK Canada”) (the “redeemable noncontrolling interests”). The Company determined that the accounting for the redeemable noncontrolling interests for periods prior to the annual period ended December 28, 2025 was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incorrect. Specifically, the redeemable noncontrolling interests had originally been classified as Noncontrolling interest within Shareholders’ equity in the financial statements included in the Company’s annual and quarterly reports filed prior to the fiscal year ended December 28, 2025. The Company determined that the redeemable noncontrolling interests should instead be accounted for as Mezzanine equity. In addition, the redeemable noncontrolling interests, which were recorded at fair value each annual and quarterly reporting period, with changes recorded in Net (loss)/income, should instead be recorded at the greater of (i) current redemption value or (ii) carrying amount each quarterly reporting period with changes to this amount being recorded in Additional paid-in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Accordingly, the change in carrying value of the redeemable noncontrolling interest, which was originally included in the calculation of Net (loss)/income as well as the calculation of Net (loss)/income attributable to Krispy Kreme, Inc. for periods prior to the annual period ended December 28, 2025, should instead be included only in the calculation of Net (loss)/income attributable to Krispy Kreme, Inc. as those captions are presented in the Consolidated Statement of Changes in Shareholders' Equity. In accordance with the guidance provided by the SEC’s Staff Accounting Bulletin 99, Materiality, and Staff Accounting Bulletin 108, Considering the Effects of Prior Year Misstatements when Quantifying Misstatements in Current Year Financial Statements, the Company determined that the impact of adjustments relating to the corrections of this accounting error were not material to previously issued Condensed Consolidated Financial Statements. Accordingly, these adjustments are disclosed herein and will be disclosed prospectively. As a result of the aforementioned correction of accounting errors, the quarterly financial statements included herein have been revised as follows:</w:t>
      </w:r>
    </w:p>
    <w:tbl>
      <w:tblPr>
        <w:tblW w:w="10205" w:type="dxa"/>
        <w:jc w:val="left"/>
        <w:tblInd w:w="0" w:type="dxa"/>
        <w:tblLayout w:type="fixed"/>
        <w:tblCellMar>
          <w:top w:w="28" w:type="dxa"/>
          <w:left w:w="28" w:type="dxa"/>
          <w:bottom w:w="28" w:type="dxa"/>
          <w:right w:w="28" w:type="dxa"/>
        </w:tblCellMar>
      </w:tblPr>
      <w:tblGrid>
        <w:gridCol w:w="1966"/>
        <w:gridCol w:w="1720"/>
        <w:gridCol w:w="1729"/>
        <w:gridCol w:w="328"/>
        <w:gridCol w:w="1085"/>
        <w:gridCol w:w="182"/>
        <w:gridCol w:w="126"/>
        <w:gridCol w:w="126"/>
        <w:gridCol w:w="126"/>
        <w:gridCol w:w="238"/>
        <w:gridCol w:w="828"/>
        <w:gridCol w:w="126"/>
        <w:gridCol w:w="126"/>
        <w:gridCol w:w="126"/>
        <w:gridCol w:w="126"/>
        <w:gridCol w:w="228"/>
        <w:gridCol w:w="828"/>
        <w:gridCol w:w="191"/>
      </w:tblGrid>
      <w:tr>
        <w:tc>
          <w:tcPr>
            <w:tcW w:w="196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Changes in Shareholders’ Equity</w:t>
            </w:r>
          </w:p>
        </w:tc>
      </w:tr>
      <w:t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Revised</w:t>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29, 2024</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(loss)/income for the fiscal quarter ended March 30, 2025</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for the quarter ended March 30, 2025 before reclassifications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30, 2025</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(loss)/income for the fiscal quarter ended June 29, 2025</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(5,761)</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for the quarter ended June 29, 2025 before reclassifications</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2025</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(loss)/income for the fiscal quarter ended September 28, 2025</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for the quarter ended September 28, 2025 before reclassifications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28, 2025</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(33,788)</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pPr>
      <w:r/>
    </w:p>
    <w:tbl>
      <w:tblPr>
        <w:tblW w:w="10205" w:type="dxa"/>
        <w:jc w:val="left"/>
        <w:tblInd w:w="0" w:type="dxa"/>
        <w:tblLayout w:type="fixed"/>
        <w:tblCellMar>
          <w:top w:w="28" w:type="dxa"/>
          <w:left w:w="28" w:type="dxa"/>
          <w:bottom w:w="28" w:type="dxa"/>
          <w:right w:w="28" w:type="dxa"/>
        </w:tblCellMar>
      </w:tblPr>
      <w:tblGrid>
        <w:gridCol w:w="2118"/>
        <w:gridCol w:w="1807"/>
        <w:gridCol w:w="1820"/>
        <w:gridCol w:w="291"/>
        <w:gridCol w:w="1196"/>
        <w:gridCol w:w="162"/>
        <w:gridCol w:w="109"/>
        <w:gridCol w:w="109"/>
        <w:gridCol w:w="109"/>
        <w:gridCol w:w="225"/>
        <w:gridCol w:w="655"/>
        <w:gridCol w:w="126"/>
        <w:gridCol w:w="109"/>
        <w:gridCol w:w="109"/>
        <w:gridCol w:w="109"/>
        <w:gridCol w:w="196"/>
        <w:gridCol w:w="798"/>
        <w:gridCol w:w="157"/>
      </w:tblGrid>
      <w:tr>
        <w:tc>
          <w:tcPr>
            <w:tcW w:w="211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Loss per Share</w:t>
            </w:r>
          </w:p>
        </w:tc>
      </w:tr>
      <w:t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Quarters Ended September 28, 2025</w:t>
            </w:r>
          </w:p>
        </w:tc>
      </w:tr>
      <w:t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Revised</w:t>
            </w:r>
          </w:p>
        </w:tc>
      </w:tr>
      <w:t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Krispy Kreme, Inc.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(487,988)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to redemption value of redeemable noncontrolling interest</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 - Basic</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(487,988)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income attributed to noncontrolling interest due to subsidiary potential common shares</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 - Diluted</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(487,991)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common stock options, RSUs, and PSUs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170,752 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(Loss)/earnings per share attributable to common shareholders: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Note 3 — Acquisitions and Divestitures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2026 Acquisitions and Divestitures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28, 2026, the Company acquired the remaining equity interest in Krispy Kreme France, increasing its ownership from 33.0% to 100%. Prior to the acquisition, the Company accounted for its investment in Krispy Kreme France under the equity method. The Company-owned operations in France remain presented in the Company’s Market Development segment as management evaluates strategic alternatives for the France business. Upon completion of the acquisition, Krispy Kreme France became a wholly owned subsidiary and its results have been included in the Company’s consolidated financial statements. The acquisition was not material to the Company's consolidated financial statements. Accordingly, the disclosures otherwise required by ASC 805, including pro forma results of operations, have been omitted.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W.K.S. Krispy Kreme and Awesome Doughnut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23, 2026 (the “Effective Date”), Krispy Kreme, Inc., through its wholly owned subsidiaries, Awesome Doughnut, LLC (“Awesome Doughnut”) and Krispy Kreme Doughnut Corporation (“KKDC”), completed transactions with its joint venture partner, WKS Restaurant Group (“WKS”), as a result of which: (i) WKS’s indirect ownership stake in the Company’s Western U.S. joint venture, W.K.S. Krispy Kreme, increased from 45% to 80%; and (ii) KKDC’s ownership stake in W.K.S. Krispy Kreme decreased from 55% to 20% (the “WKS Refranchising”). The WKS Refranchising included the following principal components: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Awesome Doughnut entered into an Asset Purchase Agreement (the “APA”) with W.K.S. KK HoldCo, Inc., an affiliate of WKS (“WKS Holdco”), pursuant to which WKS Holdco acquired, as of the Effective Date, substantially all of the franchise rights, operating assets, equipment, personal property, vehicles, goodwill, and business of the Awesome Doughnut-owned and operated Krispy Kreme shops in California (collectively, the “California Assets”) from Awesome Doughnut for an aggregate purchase price of $40.4 million, paid through delivery of a promissory note issued by WKS Holdco, as borrower, payable to Awesome Doughnut, as lender (“Seller Note”). The Seller Note bears interest at a rate of five percent (5%) per annum, payable quarterly in cash or in-kind at the option of the borrower. The Seller Note matures on March 22, 2032, and allows for prepayment without penalty. The Seller Note is secured by a pledge agreement between WKS Holdco and Awesome Doughnut, pursuant to which WKS Holdco pledged its equity interests in W.K.S. Krispy Kreme and other securities, as collateral. The Seller Note is subordinate to the new debt financing obtained by W.K.S. Krispy Kreme described below.</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WKS Holdco contributed the California Assets and $13.0 million in cash to W.K.S. Krispy Kreme, in exchange for equity interests in W.K.S. Krispy Kreme. In addition, KKDC contributed the franchise rights, operating assets, equipment, personal property, vehicles, goodwill, and business of the Company-owned and operated Krispy Kreme shop in Hawaii (the “Hawaii Assets”) to W.K.S. Krispy Kreme, in exchange for equity interests in W.K.S. Krispy Kreme, pursuant to a Contribution and Exchange Agreement, dated as of the Effective Date, by and between KKDC and W.K.S. Krispy Kreme. Following the foregoing contributions, WKS’s ownership stake in W.K.S. Krispy Kreme through its affiliate increased to 80% and KKDC’s ownership percentage decreased to 20%. As part of the WKS Refranchising, utilizing in part the proceeds of new debt financing obtained by W.K.S. Krispy Kreme, W.K.S. Krispy Kreme repaid in cash to KKDC the approximately $53.5 million balance of existing intercompany debt owed to KKDC by W.K.S. Krispy Kreme.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KKDC’s ownership interest decreasing to 20%, KKI deconsolidated W.K.S. Krispy Kreme from the Company’s Condensed Consolidated Financial Statements and recorded a loss on divestiture of $33.8 million (gross of income taxes) which is included within Gain on refranchising in the Condensed Consolidated Statements of Operations. The loss on divestiture was recognized upon the deconsolidation of W.K.S. Krispy Kreme on March 23, 2026. Accordingly, the following table reflects the calculation of the one-time loss recognized as of the transaction date and is not presented for the first three quarters of 2026. The loss recognized was calculated as follows: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00"/>
        <w:gridCol w:w="2710"/>
        <w:gridCol w:w="2722"/>
        <w:gridCol w:w="287"/>
        <w:gridCol w:w="1073"/>
        <w:gridCol w:w="213"/>
      </w:tblGrid>
      <w:tr>
        <w:tc>
          <w:tcPr>
            <w:tcW w:w="320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8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29, 2026</w:t>
            </w:r>
          </w:p>
        </w:tc>
      </w:tr>
      <w:t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net of cash disposed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Seller note received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retained noncontrolling interest in W.K.S. Krispy Kreme - common and preferred shares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Carrying value of California Assets, Hawaii Assets, and former redeemable noncontrolling interest in W.K.S Krispy Kreme </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Less: Carrying value of California Assets, Hawaii Assets, and net assets of W.K.S. Krispy Kreme, including cash and cash equivalents </w:t>
            </w:r>
            <w:r>
              <w:rPr>
                <w:rFonts w:ascii="Times New Roman;serif" w:hAnsi="Times New Roman;serif"/>
                <w:b w:val="false"/>
                <w:color w:val="000000"/>
                <w:sz w:val="10"/>
              </w:rPr>
              <w:t>(1)</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Direct costs to sell</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3"/>
        </w:rPr>
        <w:t xml:space="preserve">(1) </w:t>
      </w:r>
      <w:r>
        <w:rPr>
          <w:rFonts w:ascii="Times New Roman;serif" w:hAnsi="Times New Roman;serif"/>
          <w:b w:val="false"/>
          <w:color w:val="000000"/>
          <w:sz w:val="20"/>
        </w:rPr>
        <w:t>The net book value of W.K.S. Krispy Kreme represents the carrying value of the net assets contributed by Krispy Kreme, Inc. in exchange for the consideration transferred and is presented net of the redeemable noncontrolling interest described in the table above. The gross carrying value of W.K.S. Krispy Kreme’s net assets, before giving effect to the redeemable noncontrolling interest, was approximately $145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 ownership in W.K.S. Krispy Kreme consists of common and preferred shares of W.K.S. Krispy Kreme. The Company does not have a controlling interest but does exercise significant influence. As such, the Company accounts for this investment under the equity method of accounting in accordance with ASC 323 for the common shares owned. The Company’s preferred shares were determined not to be in-substance common stock, and as such are not eligible for the equity method of accounting under ASC 323. These preferred shares are instead accounted for as an equity security in accordance with ASC 321. Equity investments are included within Other assets on the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with the WKS Refranchising, the Company and W.K.S. Krispy Kreme entered into a six-year consulting agreement, effective March 23, 2026, under which the Company will provide strategic advisory services to the joint venture, including governance and strategy support, brand and market advisory, operational and risk advisory, and transitional back-office support services.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Divestiture of Krispy Kreme Japan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 2026, the Company completed the sale of 100% of its equity interests in Krispy Kreme Japan for gross cash proceeds of $69.3 million. Krispy Kreme Japan was a previously consolidated entity, and KKI recognized a gain on divestiture of $42.4 million (gross of income taxes) which is included within Gain on refranchising in the Condensed Consolidated Statements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2025 Acquisitions and Divestitures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quarters ended June 29, 2025 and September 28, 2025, respectively, the Company invested approximately $2.1 million in cash to maintain a 45.0% noncontrolling ownership interest in Krispy Kreme Doughnuts Brasil S.A. (“KK Brazil”) and approximately $0.9 million in cash to maintain a 25.0% noncontrolling interest in Glaseadas Originales S.L. (“KK Spain”). As the Company has the ability to exercise significant influence over KK Brazil and KK Spain, but does not have the ability to exercise control, these investments are accounted for using the equity method, and equity method earnings are recognized within Other expense/(income), net in the Condensed Consolidated Statements of Operations.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Divestiture of Insomnia Cookies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quarter ended June 29, 2025, the Company sold the remainder of its ownership interest in Insomnia Cookies Holdings, LLC (“Insomnia Cookies”) for aggregate cash proceeds of $75.0 million. Insomnia Cookies was previously accounted for using the equity method, and the Company recognized a loss on divestiture of $11.5 million (gross of income taxes) which is included within Loss on divestiture of Insomnia Cookies in the Condensed Consolidated Statements of Operations.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4 — Inventories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7060" w:type="dxa"/>
        <w:jc w:val="left"/>
        <w:tblInd w:w="0" w:type="dxa"/>
        <w:tblLayout w:type="fixed"/>
        <w:tblCellMar>
          <w:top w:w="28" w:type="dxa"/>
          <w:left w:w="28" w:type="dxa"/>
          <w:bottom w:w="28" w:type="dxa"/>
          <w:right w:w="28" w:type="dxa"/>
        </w:tblCellMar>
      </w:tblPr>
      <w:tblGrid>
        <w:gridCol w:w="1320"/>
        <w:gridCol w:w="1157"/>
        <w:gridCol w:w="1167"/>
        <w:gridCol w:w="308"/>
        <w:gridCol w:w="1077"/>
        <w:gridCol w:w="159"/>
        <w:gridCol w:w="109"/>
        <w:gridCol w:w="109"/>
        <w:gridCol w:w="109"/>
        <w:gridCol w:w="296"/>
        <w:gridCol w:w="1033"/>
        <w:gridCol w:w="216"/>
      </w:tblGrid>
      <w:t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purchased merchandise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31,176</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26,877</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5 — Goodwill and Other Intangible Assets, net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Goodwill,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carrying amount of goodwill by reportable segment are as follows: </w:t>
      </w:r>
    </w:p>
    <w:tbl>
      <w:tblPr>
        <w:tblW w:w="9099" w:type="dxa"/>
        <w:jc w:val="left"/>
        <w:tblInd w:w="0" w:type="dxa"/>
        <w:tblLayout w:type="fixed"/>
        <w:tblCellMar>
          <w:top w:w="28" w:type="dxa"/>
          <w:left w:w="28" w:type="dxa"/>
          <w:bottom w:w="28" w:type="dxa"/>
          <w:right w:w="28" w:type="dxa"/>
        </w:tblCellMar>
      </w:tblPr>
      <w:tblGrid>
        <w:gridCol w:w="1070"/>
        <w:gridCol w:w="939"/>
        <w:gridCol w:w="946"/>
        <w:gridCol w:w="211"/>
        <w:gridCol w:w="841"/>
        <w:gridCol w:w="109"/>
        <w:gridCol w:w="109"/>
        <w:gridCol w:w="109"/>
        <w:gridCol w:w="109"/>
        <w:gridCol w:w="211"/>
        <w:gridCol w:w="841"/>
        <w:gridCol w:w="109"/>
        <w:gridCol w:w="109"/>
        <w:gridCol w:w="109"/>
        <w:gridCol w:w="109"/>
        <w:gridCol w:w="297"/>
        <w:gridCol w:w="1185"/>
        <w:gridCol w:w="153"/>
        <w:gridCol w:w="109"/>
        <w:gridCol w:w="109"/>
        <w:gridCol w:w="109"/>
        <w:gridCol w:w="211"/>
        <w:gridCol w:w="841"/>
        <w:gridCol w:w="154"/>
      </w:tblGrid>
      <w:t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Market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Balance as of December 28,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382,106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218,379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111,779</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712,264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40"/>
              <w:jc w:val="left"/>
            </w:pPr>
            <w:r>
              <w:rPr>
                <w:rFonts w:ascii="Times New Roman;serif" w:hAnsi="Times New Roman;serif"/>
                <w:b w:val="false"/>
                <w:color w:val="000000"/>
                <w:sz w:val="20"/>
              </w:rPr>
              <w:t xml:space="preserve">Impact of refranchising </w:t>
            </w:r>
            <w:r>
              <w:rPr>
                <w:rFonts w:ascii="Times New Roman;serif" w:hAnsi="Times New Roman;serif"/>
                <w:b w:val="false"/>
                <w:color w:val="000000"/>
                <w:sz w:val="10"/>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Balance as of September 27,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339,932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218,842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111,779</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670,553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Other 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 of the following: </w:t>
      </w:r>
    </w:p>
    <w:tbl>
      <w:tblPr>
        <w:tblW w:w="10205" w:type="dxa"/>
        <w:jc w:val="left"/>
        <w:tblInd w:w="0" w:type="dxa"/>
        <w:tblLayout w:type="fixed"/>
        <w:tblCellMar>
          <w:top w:w="28" w:type="dxa"/>
          <w:left w:w="28" w:type="dxa"/>
          <w:bottom w:w="28" w:type="dxa"/>
          <w:right w:w="28" w:type="dxa"/>
        </w:tblCellMar>
      </w:tblPr>
      <w:tblGrid>
        <w:gridCol w:w="609"/>
        <w:gridCol w:w="392"/>
        <w:gridCol w:w="395"/>
        <w:gridCol w:w="211"/>
        <w:gridCol w:w="841"/>
        <w:gridCol w:w="109"/>
        <w:gridCol w:w="109"/>
        <w:gridCol w:w="109"/>
        <w:gridCol w:w="109"/>
        <w:gridCol w:w="211"/>
        <w:gridCol w:w="846"/>
        <w:gridCol w:w="109"/>
        <w:gridCol w:w="109"/>
        <w:gridCol w:w="109"/>
        <w:gridCol w:w="109"/>
        <w:gridCol w:w="211"/>
        <w:gridCol w:w="841"/>
        <w:gridCol w:w="109"/>
        <w:gridCol w:w="109"/>
        <w:gridCol w:w="109"/>
        <w:gridCol w:w="109"/>
        <w:gridCol w:w="211"/>
        <w:gridCol w:w="991"/>
        <w:gridCol w:w="109"/>
        <w:gridCol w:w="109"/>
        <w:gridCol w:w="109"/>
        <w:gridCol w:w="109"/>
        <w:gridCol w:w="211"/>
        <w:gridCol w:w="846"/>
        <w:gridCol w:w="109"/>
        <w:gridCol w:w="109"/>
        <w:gridCol w:w="109"/>
        <w:gridCol w:w="109"/>
        <w:gridCol w:w="211"/>
        <w:gridCol w:w="841"/>
        <w:gridCol w:w="157"/>
      </w:tblGrid>
      <w:tr>
        <w:tc>
          <w:tcPr>
            <w:tcW w:w="6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Net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Net Amount </w:t>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indefinite lives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definite lives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agreements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Reacquired franchise rights </w:t>
            </w:r>
            <w:r>
              <w:rPr>
                <w:rFonts w:ascii="Times New Roman;serif" w:hAnsi="Times New Roman;serif"/>
                <w:b w:val="false"/>
                <w:color w:val="000000"/>
                <w:sz w:val="10"/>
              </w:rPr>
              <w:t>(1)(2)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with definite lives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361,090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168,209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462,416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244,349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914,490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(192,881)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721,609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1,015,816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797,749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Reacquired franchise rights include the impact of foreign currency fluctuations associated with the respective countries.</w:t>
      </w:r>
    </w:p>
    <w:p>
      <w:pPr>
        <w:pStyle w:val="TextBody"/>
        <w:bidi w:val="0"/>
        <w:spacing w:lineRule="auto" w:line="288" w:before="0" w:after="0"/>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 xml:space="preserve">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for more information on the impact of refranchising.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included in Depreciation and amortization expense was $6.2 million and $20.1 million for the quarter and three quarters ended September 27, 2026, respectively, and $7.9 million and $23.4 million for the quarter and three quarters ended September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6 — Leases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included the following amounts related to operating and finance lease assets and liabilities within the Condensed Consolidated Balance Sheets: </w:t>
      </w:r>
    </w:p>
    <w:tbl>
      <w:tblPr>
        <w:tblW w:w="7976" w:type="dxa"/>
        <w:jc w:val="left"/>
        <w:tblInd w:w="0" w:type="dxa"/>
        <w:tblLayout w:type="fixed"/>
        <w:tblCellMar>
          <w:top w:w="28" w:type="dxa"/>
          <w:left w:w="28" w:type="dxa"/>
          <w:bottom w:w="28" w:type="dxa"/>
          <w:right w:w="28" w:type="dxa"/>
        </w:tblCellMar>
      </w:tblPr>
      <w:tblGrid>
        <w:gridCol w:w="498"/>
        <w:gridCol w:w="439"/>
        <w:gridCol w:w="443"/>
        <w:gridCol w:w="1059"/>
        <w:gridCol w:w="1059"/>
        <w:gridCol w:w="1062"/>
        <w:gridCol w:w="280"/>
        <w:gridCol w:w="1119"/>
        <w:gridCol w:w="145"/>
        <w:gridCol w:w="109"/>
        <w:gridCol w:w="109"/>
        <w:gridCol w:w="109"/>
        <w:gridCol w:w="270"/>
        <w:gridCol w:w="1078"/>
        <w:gridCol w:w="197"/>
      </w:tblGrid>
      <w:t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384,913</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448,756</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449,899</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525,002</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WKS Refranchising, including the disposition of the California Assets and the Hawaii Assets, certain lease agreements associated with the transferred shops were assigned to W.K.S. Krispy Kreme. In instances where the Company was not relieved of its primary obligations under the original lease agreements, the Company accounts for these arrangements as subleases. Under ASC 842, the Company continues to recognize the operating lease liability and right-of-use asset for subleases that were determined to be operating leases. The Company derecognized right-of-use assets for subleases that were determined to be sales-type leases and recognized an immaterial investment in sublease and lease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remains contingently liable for lease payments in the event that W.K.S. Krispy Kreme defaults on the assigned lease obligations. The undiscounted maximum potential future payments under these lease arrangements were $11.8 million as of the balance sheet date. The Company has not recorded a liability for these guarantees as the likelihood of making future payments is not considered probable.</w:t>
      </w:r>
    </w:p>
    <w:p>
      <w:pPr>
        <w:pStyle w:val="TextBody"/>
        <w:bidi w:val="0"/>
        <w:spacing w:lineRule="auto" w:line="288" w:before="240" w:after="283"/>
        <w:jc w:val="both"/>
      </w:pPr>
      <w:r>
        <w:rPr>
          <w:rFonts w:ascii="Times New Roman;serif" w:hAnsi="Times New Roman;serif"/>
          <w:b w:val="false"/>
          <w:color w:val="000000"/>
          <w:sz w:val="20"/>
        </w:rPr>
        <w:t xml:space="preserve">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costs were as follows: </w:t>
      </w:r>
    </w:p>
    <w:tbl>
      <w:tblPr>
        <w:tblW w:w="10205" w:type="dxa"/>
        <w:jc w:val="left"/>
        <w:tblInd w:w="0" w:type="dxa"/>
        <w:tblLayout w:type="fixed"/>
        <w:tblCellMar>
          <w:top w:w="28" w:type="dxa"/>
          <w:left w:w="28" w:type="dxa"/>
          <w:bottom w:w="28" w:type="dxa"/>
          <w:right w:w="28" w:type="dxa"/>
        </w:tblCellMar>
      </w:tblPr>
      <w:tblGrid>
        <w:gridCol w:w="809"/>
        <w:gridCol w:w="578"/>
        <w:gridCol w:w="548"/>
        <w:gridCol w:w="768"/>
        <w:gridCol w:w="768"/>
        <w:gridCol w:w="775"/>
        <w:gridCol w:w="271"/>
        <w:gridCol w:w="791"/>
        <w:gridCol w:w="140"/>
        <w:gridCol w:w="109"/>
        <w:gridCol w:w="109"/>
        <w:gridCol w:w="109"/>
        <w:gridCol w:w="271"/>
        <w:gridCol w:w="791"/>
        <w:gridCol w:w="140"/>
        <w:gridCol w:w="109"/>
        <w:gridCol w:w="109"/>
        <w:gridCol w:w="109"/>
        <w:gridCol w:w="255"/>
        <w:gridCol w:w="873"/>
        <w:gridCol w:w="131"/>
        <w:gridCol w:w="109"/>
        <w:gridCol w:w="109"/>
        <w:gridCol w:w="109"/>
        <w:gridCol w:w="253"/>
        <w:gridCol w:w="867"/>
        <w:gridCol w:w="195"/>
      </w:tblGrid>
      <w:tr>
        <w:tc>
          <w:tcPr>
            <w:tcW w:w="8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disclosures of cash flow information related to leases were as follows: </w:t>
      </w:r>
    </w:p>
    <w:tbl>
      <w:tblPr>
        <w:tblW w:w="8861" w:type="dxa"/>
        <w:jc w:val="left"/>
        <w:tblInd w:w="0" w:type="dxa"/>
        <w:tblLayout w:type="fixed"/>
        <w:tblCellMar>
          <w:top w:w="28" w:type="dxa"/>
          <w:left w:w="28" w:type="dxa"/>
          <w:bottom w:w="28" w:type="dxa"/>
          <w:right w:w="28" w:type="dxa"/>
        </w:tblCellMar>
      </w:tblPr>
      <w:tblGrid>
        <w:gridCol w:w="1955"/>
        <w:gridCol w:w="1718"/>
        <w:gridCol w:w="1727"/>
        <w:gridCol w:w="313"/>
        <w:gridCol w:w="1070"/>
        <w:gridCol w:w="161"/>
        <w:gridCol w:w="109"/>
        <w:gridCol w:w="109"/>
        <w:gridCol w:w="109"/>
        <w:gridCol w:w="309"/>
        <w:gridCol w:w="1056"/>
        <w:gridCol w:w="225"/>
      </w:tblGrid>
      <w:tr>
        <w:tc>
          <w:tcPr>
            <w:tcW w:w="195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54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information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leases: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Operating cash flows for operating leases </w:t>
            </w:r>
            <w:r>
              <w:rPr>
                <w:rFonts w:ascii="Times New Roman;serif" w:hAnsi="Times New Roman;serif"/>
                <w:b w:val="false"/>
                <w:color w:val="000000"/>
                <w:sz w:val="10"/>
              </w:rPr>
              <w:t>(1)</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new lease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Operating cash flows for operating leases include variable rent payments, which are not included in the measurement of lease liabilities. Variable rent payments were $17.7 million for the three quarters ended September 27, 2026 and $22.1 million for the three quarters ended September 28, 2025.</w:t>
      </w:r>
    </w:p>
    <w:p>
      <w:pPr>
        <w:pStyle w:val="TextBody"/>
        <w:bidi w:val="0"/>
        <w:spacing w:lineRule="auto" w:line="288" w:before="240" w:after="283"/>
        <w:jc w:val="both"/>
      </w:pPr>
      <w:r>
        <w:rPr>
          <w:rFonts w:ascii="Times New Roman;serif" w:hAnsi="Times New Roman;serif"/>
          <w:b w:val="false"/>
          <w:color w:val="000000"/>
          <w:sz w:val="20"/>
        </w:rPr>
        <w:t xml:space="preserve">In the three quarters ended September 27, 2026, the Company recognized a net loss of $5.2 million included in Goodwill and other asset impairments in the Condensed Consolidated Statement of Operations, primarily related to the impairment and termination of leases related to fleet assets. In the three quarters ended September 28, 2025, the Company recorded lease impairment and termination costs of $29.2 million. Refer to </w:t>
      </w:r>
      <w:hyperlink w:anchor="i85d8b002594243e7b51da769cf4c7d6e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Description of Business and Summary of Significant Accounting Policies for more information.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quarters ended September 28, 2025, the Company completed two sale-leaseback transactions involving building and land properties for total proceeds of $10.9 million. The leasebacks were classified as operating leases, allowing the transactions to qualify as sales under ASC 842. As a result, the Company recognized a gain on sale of $6.7 million in Other expense/(income), net.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7 — Fair Value Measurements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that are measured at fair value on a recurring basis as of September 27, 2026 and December 28, 2025: </w:t>
      </w:r>
    </w:p>
    <w:tbl>
      <w:tblPr>
        <w:tblW w:w="4471" w:type="dxa"/>
        <w:jc w:val="left"/>
        <w:tblInd w:w="0" w:type="dxa"/>
        <w:tblLayout w:type="fixed"/>
        <w:tblCellMar>
          <w:top w:w="28" w:type="dxa"/>
          <w:left w:w="28" w:type="dxa"/>
          <w:bottom w:w="28" w:type="dxa"/>
          <w:right w:w="28" w:type="dxa"/>
        </w:tblCellMar>
      </w:tblPr>
      <w:tblGrid>
        <w:gridCol w:w="881"/>
        <w:gridCol w:w="778"/>
        <w:gridCol w:w="786"/>
        <w:gridCol w:w="109"/>
        <w:gridCol w:w="109"/>
        <w:gridCol w:w="343"/>
        <w:gridCol w:w="1025"/>
        <w:gridCol w:w="177"/>
        <w:gridCol w:w="109"/>
        <w:gridCol w:w="154"/>
      </w:tblGrid>
      <w:tr>
        <w:tc>
          <w:tcPr>
            <w:tcW w:w="88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5,094</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426" w:type="dxa"/>
        <w:jc w:val="left"/>
        <w:tblInd w:w="0" w:type="dxa"/>
        <w:tblLayout w:type="fixed"/>
        <w:tblCellMar>
          <w:top w:w="28" w:type="dxa"/>
          <w:left w:w="28" w:type="dxa"/>
          <w:bottom w:w="28" w:type="dxa"/>
          <w:right w:w="28" w:type="dxa"/>
        </w:tblCellMar>
      </w:tblPr>
      <w:tblGrid>
        <w:gridCol w:w="884"/>
        <w:gridCol w:w="778"/>
        <w:gridCol w:w="783"/>
        <w:gridCol w:w="109"/>
        <w:gridCol w:w="109"/>
        <w:gridCol w:w="333"/>
        <w:gridCol w:w="995"/>
        <w:gridCol w:w="172"/>
        <w:gridCol w:w="109"/>
        <w:gridCol w:w="154"/>
      </w:tblGrid>
      <w:t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263" w:type="dxa"/>
            <w:gridSpan w:val="2"/>
            <w:tcBorders/>
          </w:tcPr>
          <w:p>
            <w:pPr>
              <w:pStyle w:val="TableContents"/>
              <w:bidi w:val="0"/>
              <w:spacing w:before="0" w:after="283"/>
              <w:jc w:val="left"/>
              <w:rPr>
                <w:sz w:val="4"/>
                <w:szCs w:val="4"/>
              </w:rPr>
            </w:pPr>
            <w:r>
              <w:rPr>
                <w:sz w:val="4"/>
                <w:szCs w:val="4"/>
              </w:rPr>
            </w:r>
          </w:p>
        </w:tc>
      </w:tr>
      <w:t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33</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8,398</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using Level 1 or Level 3 inputs and no transfers of financial assets or liabilities among the levels within the fair value hierarchy during the three quarters ended September 27, 2026 and fiscal year ended December 28, 2025. The Company’s derivatives are valued using discounted cash flow analyses that incorporate observable market parameters, such as interest rate yield curves and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8 — Derivative Instruments</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forward contracts to protect against the effects of commodity price fluctuations in the cost of gasoline used by our third-party logistics (“3PL”) carriers. Management has not designated these forward contracts as hedges. As of September 27, 2026 and December 28, 2025, the total notional amount of these contracts was 0.8 million and 0.6 million gallons of fuel, respectively, and the Company recorded an asset of $0.3 million and an asset of less than $0.1 million, respectively. The contracts outstanding as of September 27, 2026 are scheduled to mature between October 2026 and March 2027, and the contracts outstanding as of December 28, 2025 matured between January 2026 and March 2026. The settlement of commodity derivative contracts is reported in the Condensed Consolidated Statements of Cash Flows as a cash flow from operating activities.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interest rate swaps to manage its exposure to interest rate volatility from its debt arrangements. Management has designated the swap agreements as cash flow hedges and recognized the changes in the fair value of these swaps in other comprehensive income. As of both September 27, 2026 and December 28, 2025, the aggregate notional amount hedged by the swap agreements was $550.0 million of term loan principal. As of September 27, 2026 and December 28, 2025, the Company has recorded an asset of $4.7 million and a liability of $8.4 million, respectively, related to the fair market values of its interest rate derivatives. The cash flows associated with the interest rate swaps are reflected in operating activities in the Condensed Consolidated Statements of Cash Flows, which is consistent with the classification as operating activities of the interest payments on the term loan. </w:t>
      </w:r>
    </w:p>
    <w:p>
      <w:pPr>
        <w:pStyle w:val="TextBody"/>
        <w:bidi w:val="0"/>
        <w:spacing w:lineRule="auto" w:line="288" w:before="240" w:after="283"/>
        <w:jc w:val="both"/>
      </w:pPr>
      <w:r>
        <w:rPr>
          <w:rFonts w:ascii="Times New Roman;serif" w:hAnsi="Times New Roman;serif"/>
          <w:b w:val="false"/>
          <w:color w:val="000000"/>
          <w:sz w:val="20"/>
        </w:rPr>
        <w:t xml:space="preserve">The net effect of the interest rate swap arrangements is to fix the variable interest rate on the term loan under the 2023 Facility (as defined in </w:t>
      </w:r>
      <w:hyperlink w:anchor="i85d8b002594243e7b51da769cf4c7d6e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up to the notional amount outstanding at the rates payable under the swap agreements plus the Applicable Rate (as defined by the 2023 Facility), through the swap maturity dates in March 2028.</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foreign currency exchange rate risk primarily from its investments in consolidated subsidiaries that operate in Australia, Canada, France, Ireland, the U.K., Mexico and New Zealand. In order to mitigate foreign exchange fluctuations, the Company enters into foreign exchange forward contracts. Management has not designated these forward contracts as hedges. As of September 27, 2026 and December 28, 2025, the total notional amount of foreign exchange derivatives was $63.0 million and $65.6 million, respectively. These contracts are short term in nature and are continually swapped at a notional value to offset the corresponding values. The majority of our foreign exchange derivatives matured in October 2026 and January 2026, respectively, but are continually swapped at maturity to track the underlying exposure. The Company recorded an asset of $0.1 million and a liability of less than $0.1 million as of September 27, 2026 and December 28, 2025, respectively, related to the fair market values of its foreign exchange derivatives.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Quantitative Summary of Derivative Positions and Their Effect on Results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fair values of derivative instruments included in the Condensed Consolidated Balance Sheets as of September 27, 2026 and December 28, 2025 for derivatives not designated as hedging instruments and derivatives designated as hedging instruments, respectively. Only the Company’s cash flow hedges are designated as hedging instruments. </w:t>
      </w:r>
    </w:p>
    <w:tbl>
      <w:tblPr>
        <w:tblW w:w="9697" w:type="dxa"/>
        <w:jc w:val="left"/>
        <w:tblInd w:w="0" w:type="dxa"/>
        <w:tblLayout w:type="fixed"/>
        <w:tblCellMar>
          <w:top w:w="28" w:type="dxa"/>
          <w:left w:w="28" w:type="dxa"/>
          <w:bottom w:w="28" w:type="dxa"/>
          <w:right w:w="28" w:type="dxa"/>
        </w:tblCellMar>
      </w:tblPr>
      <w:tblGrid>
        <w:gridCol w:w="1085"/>
        <w:gridCol w:w="956"/>
        <w:gridCol w:w="959"/>
        <w:gridCol w:w="406"/>
        <w:gridCol w:w="928"/>
        <w:gridCol w:w="211"/>
        <w:gridCol w:w="109"/>
        <w:gridCol w:w="109"/>
        <w:gridCol w:w="109"/>
        <w:gridCol w:w="318"/>
        <w:gridCol w:w="611"/>
        <w:gridCol w:w="165"/>
        <w:gridCol w:w="109"/>
        <w:gridCol w:w="109"/>
        <w:gridCol w:w="109"/>
        <w:gridCol w:w="996"/>
        <w:gridCol w:w="996"/>
        <w:gridCol w:w="1412"/>
      </w:tblGrid>
      <w:t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Derivatives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 xml:space="preserve">Derivatives Not Designated as Hedging </w:t>
            </w:r>
          </w:p>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Instruments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r>
      <w:t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c>
          <w:tcPr>
            <w:tcW w:w="300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Assets</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372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0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13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c>
          <w:tcPr>
            <w:tcW w:w="30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r>
      <w:t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12</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93"/>
        <w:gridCol w:w="1037"/>
        <w:gridCol w:w="1040"/>
        <w:gridCol w:w="328"/>
        <w:gridCol w:w="981"/>
        <w:gridCol w:w="169"/>
        <w:gridCol w:w="109"/>
        <w:gridCol w:w="109"/>
        <w:gridCol w:w="109"/>
        <w:gridCol w:w="239"/>
        <w:gridCol w:w="716"/>
        <w:gridCol w:w="123"/>
        <w:gridCol w:w="109"/>
        <w:gridCol w:w="109"/>
        <w:gridCol w:w="109"/>
        <w:gridCol w:w="1111"/>
        <w:gridCol w:w="1079"/>
        <w:gridCol w:w="1535"/>
      </w:tblGrid>
      <w:tr>
        <w:tc>
          <w:tcPr>
            <w:tcW w:w="1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(current)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(noncurrent)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Assets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4,722</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(current)</w:t>
            </w:r>
          </w:p>
        </w:tc>
        <w:tc>
          <w:tcPr>
            <w:tcW w:w="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(noncurrent)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5"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8,386</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derivative instruments in the Condensed Consolidated Statements of Operations for the quarter and three quarters ended September 27, 2026 and September 28, 2025 is as follows: </w:t>
      </w:r>
    </w:p>
    <w:tbl>
      <w:tblPr>
        <w:tblW w:w="10205" w:type="dxa"/>
        <w:jc w:val="left"/>
        <w:tblInd w:w="0" w:type="dxa"/>
        <w:tblLayout w:type="fixed"/>
        <w:tblCellMar>
          <w:top w:w="28" w:type="dxa"/>
          <w:left w:w="28" w:type="dxa"/>
          <w:bottom w:w="28" w:type="dxa"/>
          <w:right w:w="28" w:type="dxa"/>
        </w:tblCellMar>
      </w:tblPr>
      <w:tblGrid>
        <w:gridCol w:w="647"/>
        <w:gridCol w:w="542"/>
        <w:gridCol w:w="543"/>
        <w:gridCol w:w="353"/>
        <w:gridCol w:w="734"/>
        <w:gridCol w:w="156"/>
        <w:gridCol w:w="156"/>
        <w:gridCol w:w="156"/>
        <w:gridCol w:w="156"/>
        <w:gridCol w:w="353"/>
        <w:gridCol w:w="690"/>
        <w:gridCol w:w="156"/>
        <w:gridCol w:w="109"/>
        <w:gridCol w:w="109"/>
        <w:gridCol w:w="109"/>
        <w:gridCol w:w="357"/>
        <w:gridCol w:w="744"/>
        <w:gridCol w:w="158"/>
        <w:gridCol w:w="158"/>
        <w:gridCol w:w="158"/>
        <w:gridCol w:w="158"/>
        <w:gridCol w:w="307"/>
        <w:gridCol w:w="918"/>
        <w:gridCol w:w="158"/>
        <w:gridCol w:w="109"/>
        <w:gridCol w:w="109"/>
        <w:gridCol w:w="109"/>
        <w:gridCol w:w="520"/>
        <w:gridCol w:w="520"/>
        <w:gridCol w:w="753"/>
      </w:tblGrid>
      <w:tr>
        <w:tc>
          <w:tcPr>
            <w:tcW w:w="6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Three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Gain Recognized in Income</w:t>
            </w:r>
          </w:p>
        </w:tc>
      </w:tr>
      <w:tr>
        <w:tc>
          <w:tcPr>
            <w:tcW w:w="17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interest rate derivatives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r>
      <w:tr>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1,001</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8"/>
        <w:gridCol w:w="529"/>
        <w:gridCol w:w="531"/>
        <w:gridCol w:w="336"/>
        <w:gridCol w:w="645"/>
        <w:gridCol w:w="146"/>
        <w:gridCol w:w="146"/>
        <w:gridCol w:w="146"/>
        <w:gridCol w:w="146"/>
        <w:gridCol w:w="283"/>
        <w:gridCol w:w="846"/>
        <w:gridCol w:w="146"/>
        <w:gridCol w:w="109"/>
        <w:gridCol w:w="109"/>
        <w:gridCol w:w="109"/>
        <w:gridCol w:w="349"/>
        <w:gridCol w:w="674"/>
        <w:gridCol w:w="152"/>
        <w:gridCol w:w="152"/>
        <w:gridCol w:w="152"/>
        <w:gridCol w:w="152"/>
        <w:gridCol w:w="295"/>
        <w:gridCol w:w="884"/>
        <w:gridCol w:w="152"/>
        <w:gridCol w:w="109"/>
        <w:gridCol w:w="109"/>
        <w:gridCol w:w="109"/>
        <w:gridCol w:w="768"/>
        <w:gridCol w:w="516"/>
        <w:gridCol w:w="747"/>
      </w:tblGrid>
      <w:tr>
        <w:tc>
          <w:tcPr>
            <w:tcW w:w="65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Three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(Loss)/Gain Recognized in Income</w:t>
            </w:r>
          </w:p>
        </w:tc>
      </w:tr>
      <w:tr>
        <w:tc>
          <w:tcPr>
            <w:tcW w:w="17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foreign currency derivatives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(income)/expense, net</w:t>
            </w:r>
          </w:p>
        </w:tc>
      </w:tr>
      <w:tr>
        <w:tc>
          <w:tcPr>
            <w:tcW w:w="17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on commodity derivatives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(income)/expense, net</w:t>
            </w:r>
          </w:p>
        </w:tc>
      </w:tr>
      <w:tr>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251</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1,162</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351</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1,185</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Note 9 — Vendor Finance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liabilities as of September 27, 2026 and December 28, 2025 related to vendor finance programs in which the Company participates as a buyer: </w:t>
      </w:r>
    </w:p>
    <w:tbl>
      <w:tblPr>
        <w:tblW w:w="8361" w:type="dxa"/>
        <w:jc w:val="left"/>
        <w:tblInd w:w="0" w:type="dxa"/>
        <w:tblLayout w:type="fixed"/>
        <w:tblCellMar>
          <w:top w:w="28" w:type="dxa"/>
          <w:left w:w="28" w:type="dxa"/>
          <w:bottom w:w="28" w:type="dxa"/>
          <w:right w:w="28" w:type="dxa"/>
        </w:tblCellMar>
      </w:tblPr>
      <w:tblGrid>
        <w:gridCol w:w="1020"/>
        <w:gridCol w:w="898"/>
        <w:gridCol w:w="901"/>
        <w:gridCol w:w="280"/>
        <w:gridCol w:w="1119"/>
        <w:gridCol w:w="145"/>
        <w:gridCol w:w="109"/>
        <w:gridCol w:w="109"/>
        <w:gridCol w:w="109"/>
        <w:gridCol w:w="272"/>
        <w:gridCol w:w="1087"/>
        <w:gridCol w:w="140"/>
        <w:gridCol w:w="109"/>
        <w:gridCol w:w="109"/>
        <w:gridCol w:w="109"/>
        <w:gridCol w:w="539"/>
        <w:gridCol w:w="539"/>
        <w:gridCol w:w="767"/>
      </w:tblGrid>
      <w:t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Sheet Location</w:t>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chain financing programs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r>
      <w:t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 programs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w:t>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126,131</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104,883</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Supply Chain Financing (“SCF”)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with a third-party administrator which allows participating vendors to track the Company’s payments, and if voluntarily elected by the vendor, to sell payment obligations from the Company to financial institutions as part of the SCF programs. When participating vendors elect to sell one or more of the Company’s payment obligations, the Company’s rights and obligations to settle the payables on their contractual due date are not impacted. The Company agrees on commercial terms with vendors for the goods and services procured, which are consistent with payment terms observed at other peer companies in the industry. The Company has historically prioritized negotiating longer payment terms with some of its largest vendors, and certain of these vendors have also elected to participate in the SCF programs. Payment terms and pricing negotiations are independent of, and not conditioned upon, a vendor’s participation in the SCF programs. The financial institutions do not provide the Company with incentives such as rebates or profit sharing under the SCF programs. As the terms are not impacted by the SCF programs, such obligations are classified as Accounts payable in the Condensed Consolidated Balance Sheets and the associated cash flows are included in operating activities in the Condensed Consolidated Statements of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Structured Payables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various card products issued by financial institutions to facilitate purchases of goods and services. By using these products, the Company may receive differing levels of rebates based on timing of repayment. The payment obligations under these card products are classified as Structured payables in the Condensed Consolidated Balance Sheets and the associated cash flows are included in financing activities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10 — Long-Term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long-term debt obligations consist of the following: </w:t>
      </w:r>
    </w:p>
    <w:tbl>
      <w:tblPr>
        <w:tblW w:w="6850" w:type="dxa"/>
        <w:jc w:val="left"/>
        <w:tblInd w:w="0" w:type="dxa"/>
        <w:tblLayout w:type="fixed"/>
        <w:tblCellMar>
          <w:top w:w="28" w:type="dxa"/>
          <w:left w:w="28" w:type="dxa"/>
          <w:bottom w:w="28" w:type="dxa"/>
          <w:right w:w="28" w:type="dxa"/>
        </w:tblCellMar>
      </w:tblPr>
      <w:tblGrid>
        <w:gridCol w:w="1243"/>
        <w:gridCol w:w="1093"/>
        <w:gridCol w:w="1098"/>
        <w:gridCol w:w="280"/>
        <w:gridCol w:w="1119"/>
        <w:gridCol w:w="145"/>
        <w:gridCol w:w="109"/>
        <w:gridCol w:w="109"/>
        <w:gridCol w:w="109"/>
        <w:gridCol w:w="270"/>
        <w:gridCol w:w="1078"/>
        <w:gridCol w:w="197"/>
      </w:tblGrid>
      <w:t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term loan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revolving credit facility</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lines of credit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obligations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867,904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977,829</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less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809,671</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911,852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2023 Secured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credit agreement (the “2023 Facility”) consisting of a $300.0 million senior secured revolving credit facility and a term loan with an original principal amount of $700.0 million. During the quarter ended June 29, 2025, the Company amended the 2023 Facility (referred to as the “2025 Amendment”) to, among other things, establish additional, incremental term loan commitments in an aggregate principal amount of $125.0 million. During the quarter ended June 29, 2025, the Company capitalized $0.8 million of debt issuance costs related to the 2025 Amendment.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2023 Facility are generally subject to an interest rate of adjusted term Secured Overnight Financing Rate (“SOFR”) plus a credit spread adjustment of 0.10% plus (i) 2.25% if the Company’s leverage ratio (as defined in the 2023 Facility) equals or exceeds 4.00 to 1.00, (ii) 2.00% if the Company’s leverage ratio is less than 4.00 to 1.00 but greater than or equal to 3.00 to 1.00, or (iii) 1.75% if the Company’s leverage ratio is less than 3.00 to 1.00. As of September 27, 2026 and December 28, 2025, the unhedged interest rates were 5.79% and 6.27% under the 2023 Facility, respectively. As of both September 27, 2026 and December 28, 2025, $550.0 million of the outstanding term loan balance was hedged, with the interest rate swap agreements scheduled to mature in March 2028. As of September 27, 2026 and December 28, 2025, the effective interest rates on the term loan were 6.01% and 6.06%, respectively. The Company is required to make installment payments equal to 1.25% of the aggregate closing date principal amounts of the term loan on the last day of each fiscal quarter. All remaining term loan and revolving loan balances are due at maturity in March 2028.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2023 Facility is secured by a first priority lien on substantially all of the Company’s personal property assets, certain real estate properties, and all of the Company’s U.S. wholly owned subsidiaries. Loans made pursuant to the 2023 Facility may be used for general corporate purposes of the Company (including, but not limited to, financing working capital needs, capital expenditures, acquisitions, and other investments) and for any other purpose not prohibited under the related loan documents. The 2025 Amendment imposed certain restrictions on the ability to make restricted payments, including dividends, if the leverage ratio under the 2023 Facility exceeds 3.00 to 1.00.</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Short-Term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two agreements with existing lenders providing for short-term, uncommitted lines of credit up to an aggregate of $25.0 million. Borrowings under these short-term lines of credit are payable to the lenders on a revolving basis for tenors up to three months and are subject to an interest rate of adjusted term SOFR plus a credit spread adjustment of 0.10% plus a margin of 1.75%.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11 — Share-based Compensation</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 (“RSUs”) and Performance-based RSUs (“PSUs”)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KKI issues time-vested RSUs and PSUs under the Krispy Kreme, Inc. 2021 Omnibus Incentive Plan (“Omnibus Plan”). Certain subsidiaries issue time-vested RSUs under their respective executive ownership plans and long-term incentive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RSU and PSU activity under these plans during the periods presented is as follows: </w:t>
      </w:r>
    </w:p>
    <w:tbl>
      <w:tblPr>
        <w:tblW w:w="10205" w:type="dxa"/>
        <w:jc w:val="left"/>
        <w:tblInd w:w="0" w:type="dxa"/>
        <w:tblLayout w:type="fixed"/>
        <w:tblCellMar>
          <w:top w:w="28" w:type="dxa"/>
          <w:left w:w="28" w:type="dxa"/>
          <w:bottom w:w="28" w:type="dxa"/>
          <w:right w:w="28" w:type="dxa"/>
        </w:tblCellMar>
      </w:tblPr>
      <w:tblGrid>
        <w:gridCol w:w="762"/>
        <w:gridCol w:w="615"/>
        <w:gridCol w:w="619"/>
        <w:gridCol w:w="444"/>
        <w:gridCol w:w="1330"/>
        <w:gridCol w:w="231"/>
        <w:gridCol w:w="109"/>
        <w:gridCol w:w="109"/>
        <w:gridCol w:w="109"/>
        <w:gridCol w:w="308"/>
        <w:gridCol w:w="308"/>
        <w:gridCol w:w="221"/>
        <w:gridCol w:w="109"/>
        <w:gridCol w:w="109"/>
        <w:gridCol w:w="109"/>
        <w:gridCol w:w="109"/>
        <w:gridCol w:w="109"/>
        <w:gridCol w:w="211"/>
        <w:gridCol w:w="616"/>
        <w:gridCol w:w="109"/>
        <w:gridCol w:w="109"/>
        <w:gridCol w:w="109"/>
        <w:gridCol w:w="109"/>
        <w:gridCol w:w="211"/>
        <w:gridCol w:w="511"/>
        <w:gridCol w:w="109"/>
        <w:gridCol w:w="109"/>
        <w:gridCol w:w="109"/>
        <w:gridCol w:w="109"/>
        <w:gridCol w:w="489"/>
        <w:gridCol w:w="1220"/>
        <w:gridCol w:w="365"/>
      </w:tblGrid>
      <w:tr>
        <w:tc>
          <w:tcPr>
            <w:tcW w:w="76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20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Non-vested shares outstanding at 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Non-vested shares outstanding at September 27,</w:t>
              <w:br/>
              <w:t>2026</w:t>
            </w:r>
          </w:p>
        </w:tc>
      </w:tr>
      <w:tr>
        <w:tc>
          <w:tcPr>
            <w:tcW w:w="1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KKI</w:t>
            </w:r>
          </w:p>
        </w:tc>
        <w:tc>
          <w:tcPr>
            <w:tcW w:w="2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10,669</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11,134</w:t>
            </w: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5.97</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4.31</w:t>
            </w: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r>
      <w:tr>
        <w:tc>
          <w:tcPr>
            <w:tcW w:w="19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KK Australia</w:t>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21</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1.72</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KK Mexico</w:t>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40.14</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total non-cash compensation expense related to the RSUs and PSUs under the plans of $4.5 million and $11.8 million for the quarter and three quarters ended September 27, 2026, respectively, and $2.0 million and $8.4 million for the quarter and three quarters ended September 28, 2025, respectively, which is included in Selling, general and administrative expenses in the Condensed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unrecognized compensation cost related to the unvested RSUs and PSUs and the weighted average period over which such cost is expected to be recognized are as follows: </w:t>
      </w:r>
    </w:p>
    <w:tbl>
      <w:tblPr>
        <w:tblW w:w="4907" w:type="dxa"/>
        <w:jc w:val="left"/>
        <w:tblInd w:w="0" w:type="dxa"/>
        <w:tblLayout w:type="fixed"/>
        <w:tblCellMar>
          <w:top w:w="28" w:type="dxa"/>
          <w:left w:w="28" w:type="dxa"/>
          <w:bottom w:w="28" w:type="dxa"/>
          <w:right w:w="28" w:type="dxa"/>
        </w:tblCellMar>
      </w:tblPr>
      <w:tblGrid>
        <w:gridCol w:w="163"/>
        <w:gridCol w:w="143"/>
        <w:gridCol w:w="145"/>
        <w:gridCol w:w="516"/>
        <w:gridCol w:w="1769"/>
        <w:gridCol w:w="265"/>
        <w:gridCol w:w="125"/>
        <w:gridCol w:w="125"/>
        <w:gridCol w:w="125"/>
        <w:gridCol w:w="448"/>
        <w:gridCol w:w="448"/>
        <w:gridCol w:w="635"/>
      </w:tblGrid>
      <w:t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September 27, 2026</w:t>
            </w:r>
          </w:p>
        </w:tc>
      </w:tr>
      <w:t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Recognized Over a</w:t>
              <w:br/>
              <w:t>Weighted Average</w:t>
              <w:br/>
              <w:t>Period of</w:t>
            </w:r>
          </w:p>
        </w:tc>
      </w:tr>
      <w:tr>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years</w:t>
            </w:r>
          </w:p>
        </w:tc>
      </w:tr>
      <w:t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Time-Vested Stock Options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KKI issues time-vested stock options under the Omnibus Plan. The fair value of time-vested stock options was estimated on the date of grant using the Black-Scholes option pricing model.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status of the time-vested stock options as of December 28, 2025 and changes during the first three quarters of fiscal 2026 are presented below:</w:t>
      </w:r>
    </w:p>
    <w:tbl>
      <w:tblPr>
        <w:tblW w:w="10205" w:type="dxa"/>
        <w:jc w:val="left"/>
        <w:tblInd w:w="0" w:type="dxa"/>
        <w:tblLayout w:type="fixed"/>
        <w:tblCellMar>
          <w:top w:w="28" w:type="dxa"/>
          <w:left w:w="28" w:type="dxa"/>
          <w:bottom w:w="28" w:type="dxa"/>
          <w:right w:w="28" w:type="dxa"/>
        </w:tblCellMar>
      </w:tblPr>
      <w:tblGrid>
        <w:gridCol w:w="941"/>
        <w:gridCol w:w="814"/>
        <w:gridCol w:w="820"/>
        <w:gridCol w:w="440"/>
        <w:gridCol w:w="1100"/>
        <w:gridCol w:w="229"/>
        <w:gridCol w:w="109"/>
        <w:gridCol w:w="109"/>
        <w:gridCol w:w="109"/>
        <w:gridCol w:w="220"/>
        <w:gridCol w:w="220"/>
        <w:gridCol w:w="221"/>
        <w:gridCol w:w="109"/>
        <w:gridCol w:w="109"/>
        <w:gridCol w:w="109"/>
        <w:gridCol w:w="260"/>
        <w:gridCol w:w="260"/>
        <w:gridCol w:w="261"/>
        <w:gridCol w:w="109"/>
        <w:gridCol w:w="109"/>
        <w:gridCol w:w="109"/>
        <w:gridCol w:w="327"/>
        <w:gridCol w:w="794"/>
        <w:gridCol w:w="169"/>
        <w:gridCol w:w="109"/>
        <w:gridCol w:w="109"/>
        <w:gridCol w:w="109"/>
        <w:gridCol w:w="807"/>
        <w:gridCol w:w="416"/>
        <w:gridCol w:w="598"/>
      </w:tblGrid>
      <w:tr>
        <w:tc>
          <w:tcPr>
            <w:tcW w:w="9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options outstanding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options outstanding at</w:t>
            </w:r>
          </w:p>
        </w:tc>
      </w:tr>
      <w:tr>
        <w:tc>
          <w:tcPr>
            <w:tcW w:w="2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w:t>
              <w:br/>
              <w:t>2026</w:t>
            </w:r>
          </w:p>
        </w:tc>
      </w:tr>
      <w:t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KKI</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2,558</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2,152</w:t>
            </w:r>
          </w:p>
        </w:tc>
      </w:tr>
      <w:t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2.46</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r>
      <w:t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5.43</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4.97</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pPr>
      <w:r>
        <w:rPr>
          <w:rFonts w:ascii="Times New Roman;serif" w:hAnsi="Times New Roman;serif"/>
          <w:b w:val="false"/>
          <w:color w:val="000000"/>
          <w:sz w:val="20"/>
        </w:rPr>
        <w:t xml:space="preserve">The Company recorded total non-cash compensation (benefit)/expense related to the time-vested stock options </w:t>
      </w:r>
      <w:r>
        <w:rPr>
          <w:rFonts w:ascii="Times New Roman;serif" w:hAnsi="Times New Roman;serif"/>
          <w:b w:val="false"/>
          <w:color w:val="000000"/>
          <w:sz w:val="20"/>
          <w:shd w:fill="FFFFFF" w:val="clear"/>
        </w:rPr>
        <w:t>of $0.2 million and $0.8 million</w:t>
      </w:r>
      <w:r>
        <w:rPr>
          <w:color w:val="000000"/>
        </w:rPr>
        <w:t xml:space="preserve"> </w:t>
      </w:r>
      <w:r>
        <w:rPr>
          <w:rFonts w:ascii="Times New Roman;serif" w:hAnsi="Times New Roman;serif"/>
          <w:b w:val="false"/>
          <w:color w:val="000000"/>
          <w:sz w:val="20"/>
        </w:rPr>
        <w:t xml:space="preserve">for the quarter and three quarters ended September 27, 2026, respectively, and </w:t>
      </w:r>
      <w:r>
        <w:rPr>
          <w:rFonts w:ascii="Times New Roman;serif" w:hAnsi="Times New Roman;serif"/>
          <w:b w:val="false"/>
          <w:color w:val="000000"/>
          <w:sz w:val="20"/>
          <w:shd w:fill="FFFFFF" w:val="clear"/>
        </w:rPr>
        <w:t>($1.3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for the quarter and three quarters ended September 28, 2025, respectively, which is included in Selling, general and administrative expenses in the Condensed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unrecognized compensation cost related to the stock options and the weighted average period over which such cost is expected to be recognized are as follows: </w:t>
      </w:r>
    </w:p>
    <w:tbl>
      <w:tblPr>
        <w:tblW w:w="4934" w:type="dxa"/>
        <w:jc w:val="left"/>
        <w:tblInd w:w="0" w:type="dxa"/>
        <w:tblLayout w:type="fixed"/>
        <w:tblCellMar>
          <w:top w:w="28" w:type="dxa"/>
          <w:left w:w="28" w:type="dxa"/>
          <w:bottom w:w="28" w:type="dxa"/>
          <w:right w:w="28" w:type="dxa"/>
        </w:tblCellMar>
      </w:tblPr>
      <w:tblGrid>
        <w:gridCol w:w="163"/>
        <w:gridCol w:w="143"/>
        <w:gridCol w:w="145"/>
        <w:gridCol w:w="574"/>
        <w:gridCol w:w="1679"/>
        <w:gridCol w:w="297"/>
        <w:gridCol w:w="134"/>
        <w:gridCol w:w="134"/>
        <w:gridCol w:w="134"/>
        <w:gridCol w:w="448"/>
        <w:gridCol w:w="448"/>
        <w:gridCol w:w="635"/>
      </w:tblGrid>
      <w:t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 of September 27, 2026</w:t>
            </w:r>
          </w:p>
        </w:tc>
      </w:tr>
      <w:t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Recognized Over a</w:t>
              <w:br/>
              <w:t>Weighted Average</w:t>
              <w:br/>
              <w:t>Period of</w:t>
            </w:r>
          </w:p>
        </w:tc>
      </w:tr>
      <w:tr>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time-vested stock options vested during the quarter and three quarters ended September 27, 2026 or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12 — 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interim tax reporting, the Company estimates a worldwide annual effective tax rate and applies that rate to the year-to-date ordinary (loss)/income. The tax effects of significant unusual or infrequently occurring items are excluded from the estimated annual effective tax rate calculation and recognized in the interim period in which they occur. The Company establishes valuation allowances for deferred income tax assets in accordance with GAAP, which provides that such valuation allowances shall be established unless realization of the income tax benefits is more likely than not. Due to significant estimates used to establish the valuation allowances and the potential for changes in facts and circumstances, it is possible that the Company will be required to record adjustments to the valuation allowances in future reporting periods that could have a material effect on its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40.0% and 14.6% for the quarter and three quarters ended September 27, 2026, respectively, and 12.3% and 5.0% for the quarter and three quarters ended September 28, 2025, respectively. The Company’s effective income tax rate for the quarter and three quarters ended September 27, 2026 differed from the respective statutory rates primarily due to the tax effects of the mix of income and taxes attributable to foreign jurisdictions, the refranchising of W.K.S. Krispy Kreme and Krispy Kreme Japan, and the release of previously accrued uncertain tax benefits. The Company’s effective income tax rate for the quarter and three quarters ended September 28, 2025 differed from the statutory rate primarily due to the tax effects of goodwill impairment charges, the mix of income and taxes attributable to foreign jurisdictions, disallowed executive compensation expense, and the sale of the Company’s investment in Insomnia Cookies.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13 — Commitments and Contingencies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Pending Litigation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16, 2025 and June 30, 2025, shareholders of the Company filed separate putative federal securities class actions in the Western District of North Carolina against the Company, its Chief Executive Officer (“CEO”), and its former Chief Financial Officer (“CFO”). The actions, which were subsequently consolidated, allege that, throughout the proposed putative class periods, defendants made materially false and/or misleading statements and/or failed to disclose materially adverse facts concerning the Company’s business, operations, and prospects related to the Business Relationship Agreement with McDonald’s USA. On August 26, 2026, the Court granted in part and denied in part defendants’ motion to dismiss the securities class action. On October 13, 2026, defendants filed an answer to the complaint. This matter is currently in the discovery phase. The Company has engaged external counsel and intends to vigorously defend against these claims. It is too soon to predict with any certainty what, if any, damages could be awarded if liability were found.</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Data Breach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16, 2025, the Company released a Notice of Data Breach stating that on November 29, 2024, the Company became aware of the 2024 Cybersecurity Incident and on May 22, 2025, the Company’s investigation determined that personal information of certain individuals was affected. Beginning on June 20, 2025, several putative class action lawsuits were filed against the Company in the Middle District of North Carolina, the Western District of North Carolina, and in California state court. The actions, which were subsequently consolidated, assert claims of negligence, negligence per se, unjust enrichment, breach of implied contract, breach of the implied covenant of good faith and fair dealing, breach of confidence, breach of fiduciary duty, breach of bailment, invasion of privacy, declaratory judgment, and violations of California and North Carolina statutory law, arising from the Company’s alleged failure to secure and safeguard the personally identifiable information and private health information of plaintiffs and purported class members.</w:t>
      </w:r>
    </w:p>
    <w:p>
      <w:pPr>
        <w:pStyle w:val="TextBody"/>
        <w:bidi w:val="0"/>
        <w:spacing w:lineRule="auto" w:line="288" w:before="120" w:after="283"/>
        <w:jc w:val="both"/>
      </w:pPr>
      <w:r>
        <w:rPr>
          <w:rFonts w:ascii="Times New Roman;serif" w:hAnsi="Times New Roman;serif"/>
          <w:b w:val="false"/>
          <w:color w:val="000000"/>
          <w:sz w:val="20"/>
        </w:rPr>
        <w:t xml:space="preserve">The Company engaged external counsel to defend against the data breach litigation. The Company reached a settlement with plaintiffs in the amount of approximately </w:t>
      </w:r>
      <w:r>
        <w:rPr>
          <w:rFonts w:ascii="Times New Roman;serif" w:hAnsi="Times New Roman;serif"/>
          <w:b w:val="false"/>
          <w:color w:val="000000"/>
          <w:sz w:val="20"/>
          <w:shd w:fill="FFFFFF" w:val="clear"/>
        </w:rPr>
        <w:t>$1.6 million</w:t>
      </w:r>
      <w:r>
        <w:rPr>
          <w:rFonts w:ascii="Times New Roman;serif" w:hAnsi="Times New Roman;serif"/>
          <w:b w:val="false"/>
          <w:color w:val="000000"/>
          <w:sz w:val="20"/>
        </w:rPr>
        <w:t>, which the court approved on July 6,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Shareholder Derivative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13, 2025, June 25, 2025, and August 19, 2025, purported shareholders of the Company filed shareholder derivative actions in the Western District of North Carolina against its CEO, its former CFO, and current and former members of its Board of Directors. The actions, which were subsequently consolidated, allege that the derivative defendants breached their fiduciary duties by allowing the Company to issue materially false and misleading statements and failing to maintain adequate internal controls. The consolidated derivative action is currently stayed until entry of a final judgment in the related securities class action or upon motion of one of the parties following 30 days’ notice. On October 2, 2026, purported shareholders of the Company filed a similar derivative action in the Western District of North Carolina against its CEO, its former CFO, and current and former members of its Board of Directors. The matters are currently in the pleading phase, and the Company has engaged external counsel with respect to these matters. At this stage of the litigation, the Company is unable to predict the outcome of this matter or reasonably estimate a range of possible outcomes or loss, if any, in this matter.</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Legal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is engaged in various legal proceedings arising in the normal course of business. The Company maintains insurance policies against certain kinds of such claims and suits, including insurance policies for workers’ compensation and personal injury, all of which are subject to deductibles. While the ultimate outcome of these matters could differ from management’s expectations, management currently does not believe their resolution will have a material adverse effect on the Company’s Condensed Consolidated Financial Statements.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banks and insurance carriers issued letters of credit and surety bonds on its behalf totaling $26.1 million and $24.4 million as of September 27, 2026 and December 28, 2025, respectively, a majority of which secure the Company’s reimbursement obligations to insurers under its self-insurance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14 — Related Party Transactions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27, 2026, the Company held minority equity interests in three entities, KK Brazil (45.0% ownership), KK Spain (25.0% ownership), and W.K.S. Krispy Kreme (20.0% ownership) with an aggregate carrying value of $21.5 million. As of December 28, 2025, the Company held minority equity interests in three entities, Krispy Kreme France (33.0% ownership), KK Brazil (45.0% ownership), and KK Spain (25.0% ownership) with an aggregate carrying value of $7.4 million. </w:t>
      </w:r>
    </w:p>
    <w:p>
      <w:pPr>
        <w:pStyle w:val="TextBody"/>
        <w:bidi w:val="0"/>
        <w:spacing w:lineRule="auto" w:line="288" w:before="120" w:after="283"/>
        <w:jc w:val="left"/>
      </w:pPr>
      <w:r>
        <w:rPr>
          <w:rFonts w:ascii="Times New Roman;serif" w:hAnsi="Times New Roman;serif"/>
          <w:b w:val="false"/>
          <w:color w:val="000000"/>
          <w:sz w:val="20"/>
        </w:rPr>
        <w:t xml:space="preserve">During the quarter ended June 28, 2026, the Company acquired the remaining equity interest in Krispy Kreme France, increasing its ownership from 33.0% to 100.0%. Since completion of the transaction, Krispy Kreme France has been included in the Company’s Condensed Consolidated Financial Statements. 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15 — Revenue Recognition</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Disaggregation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disaggregated as follows: </w:t>
      </w:r>
    </w:p>
    <w:tbl>
      <w:tblPr>
        <w:tblW w:w="10205" w:type="dxa"/>
        <w:jc w:val="left"/>
        <w:tblInd w:w="0" w:type="dxa"/>
        <w:tblLayout w:type="fixed"/>
        <w:tblCellMar>
          <w:top w:w="28" w:type="dxa"/>
          <w:left w:w="28" w:type="dxa"/>
          <w:bottom w:w="28" w:type="dxa"/>
          <w:right w:w="28" w:type="dxa"/>
        </w:tblCellMar>
      </w:tblPr>
      <w:tblGrid>
        <w:gridCol w:w="1188"/>
        <w:gridCol w:w="1023"/>
        <w:gridCol w:w="1030"/>
        <w:gridCol w:w="266"/>
        <w:gridCol w:w="1064"/>
        <w:gridCol w:w="137"/>
        <w:gridCol w:w="109"/>
        <w:gridCol w:w="109"/>
        <w:gridCol w:w="109"/>
        <w:gridCol w:w="266"/>
        <w:gridCol w:w="1064"/>
        <w:gridCol w:w="137"/>
        <w:gridCol w:w="109"/>
        <w:gridCol w:w="109"/>
        <w:gridCol w:w="109"/>
        <w:gridCol w:w="240"/>
        <w:gridCol w:w="1133"/>
        <w:gridCol w:w="124"/>
        <w:gridCol w:w="109"/>
        <w:gridCol w:w="109"/>
        <w:gridCol w:w="109"/>
        <w:gridCol w:w="239"/>
        <w:gridCol w:w="1128"/>
        <w:gridCol w:w="185"/>
      </w:tblGrid>
      <w:tr>
        <w:tc>
          <w:tcPr>
            <w:tcW w:w="118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Shops and Fresh Delivery</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283,646 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 and equipment revenue from franchisees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royalties and other</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328,758</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375,298</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1,026,787</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1,130,249</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include advertising fund contributions from franchisees, consulting fees, rental income, development and franchise fees, and licensing royalties from customers for use of the Krispy Kreme brand, such as Keurig coffee cups.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and related receivables are as follows: </w:t>
      </w:r>
    </w:p>
    <w:tbl>
      <w:tblPr>
        <w:tblW w:w="10205" w:type="dxa"/>
        <w:jc w:val="left"/>
        <w:tblInd w:w="0" w:type="dxa"/>
        <w:tblLayout w:type="fixed"/>
        <w:tblCellMar>
          <w:top w:w="28" w:type="dxa"/>
          <w:left w:w="28" w:type="dxa"/>
          <w:bottom w:w="28" w:type="dxa"/>
          <w:right w:w="28" w:type="dxa"/>
        </w:tblCellMar>
      </w:tblPr>
      <w:tblGrid>
        <w:gridCol w:w="1460"/>
        <w:gridCol w:w="1240"/>
        <w:gridCol w:w="1244"/>
        <w:gridCol w:w="270"/>
        <w:gridCol w:w="945"/>
        <w:gridCol w:w="139"/>
        <w:gridCol w:w="109"/>
        <w:gridCol w:w="109"/>
        <w:gridCol w:w="109"/>
        <w:gridCol w:w="265"/>
        <w:gridCol w:w="926"/>
        <w:gridCol w:w="136"/>
        <w:gridCol w:w="109"/>
        <w:gridCol w:w="109"/>
        <w:gridCol w:w="109"/>
        <w:gridCol w:w="937"/>
        <w:gridCol w:w="822"/>
        <w:gridCol w:w="1167"/>
      </w:tblGrid>
      <w:tr>
        <w:tc>
          <w:tcPr>
            <w:tcW w:w="14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receivables, net of allowances of $1,689 and $976, respectively</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receivables, net</w:t>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revenue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24,657</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26,448</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Trade receivables relate primarily to payments due for royalties, franchise fees, advertising fees, sale of products, and licensing fees. Deferred revenue primarily represents the Company’s remaining performance obligations under gift cards and franchise and development agreements for which consideration has been received or is receivable and is generally recognized on a straight-line basis over the remaining term of the related agreement. The noncurrent portion of deferred revenue primarily relates to the remaining performance obligations in the franchise and development agreements.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Transaction Price Allocated to Remaining Performance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Estimated revenue expected to be recognized in the future related to performance obligations that are either unsatisfied or partially satisfied as of September 27, 2026 is as follows: </w:t>
      </w:r>
    </w:p>
    <w:tbl>
      <w:tblPr>
        <w:tblW w:w="2765" w:type="dxa"/>
        <w:jc w:val="left"/>
        <w:tblInd w:w="0" w:type="dxa"/>
        <w:tblLayout w:type="fixed"/>
        <w:tblCellMar>
          <w:top w:w="28" w:type="dxa"/>
          <w:left w:w="28" w:type="dxa"/>
          <w:bottom w:w="28" w:type="dxa"/>
          <w:right w:w="28" w:type="dxa"/>
        </w:tblCellMar>
      </w:tblPr>
      <w:tblGrid>
        <w:gridCol w:w="608"/>
        <w:gridCol w:w="533"/>
        <w:gridCol w:w="538"/>
        <w:gridCol w:w="211"/>
        <w:gridCol w:w="721"/>
        <w:gridCol w:w="154"/>
      </w:tblGrid>
      <w:t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16 — Net (Loss)/Earnings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calculations of basic and diluted EPS:</w:t>
      </w:r>
    </w:p>
    <w:tbl>
      <w:tblPr>
        <w:tblW w:w="10205" w:type="dxa"/>
        <w:jc w:val="left"/>
        <w:tblInd w:w="0" w:type="dxa"/>
        <w:tblLayout w:type="fixed"/>
        <w:tblCellMar>
          <w:top w:w="28" w:type="dxa"/>
          <w:left w:w="28" w:type="dxa"/>
          <w:bottom w:w="28" w:type="dxa"/>
          <w:right w:w="28" w:type="dxa"/>
        </w:tblCellMar>
      </w:tblPr>
      <w:tblGrid>
        <w:gridCol w:w="1664"/>
        <w:gridCol w:w="1213"/>
        <w:gridCol w:w="1222"/>
        <w:gridCol w:w="243"/>
        <w:gridCol w:w="884"/>
        <w:gridCol w:w="125"/>
        <w:gridCol w:w="109"/>
        <w:gridCol w:w="109"/>
        <w:gridCol w:w="109"/>
        <w:gridCol w:w="243"/>
        <w:gridCol w:w="884"/>
        <w:gridCol w:w="125"/>
        <w:gridCol w:w="109"/>
        <w:gridCol w:w="109"/>
        <w:gridCol w:w="109"/>
        <w:gridCol w:w="243"/>
        <w:gridCol w:w="884"/>
        <w:gridCol w:w="125"/>
        <w:gridCol w:w="109"/>
        <w:gridCol w:w="109"/>
        <w:gridCol w:w="109"/>
        <w:gridCol w:w="232"/>
        <w:gridCol w:w="959"/>
        <w:gridCol w:w="178"/>
      </w:tblGrid>
      <w:tr>
        <w:tc>
          <w:tcPr>
            <w:tcW w:w="166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4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Krispy Kreme, Inc.</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Accretion to redemption value of redeemable noncontrolling interest</w:t>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 Basic</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(492,278)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income attributed to noncontrolling interest due to subsidiary potential common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 Diluted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(492,281)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common stock options, RSUs, and PSUs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(Loss)/earnings per share attributable to common shareholders: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pPr>
      <w:r>
        <w:rPr>
          <w:rFonts w:ascii="Times New Roman;serif" w:hAnsi="Times New Roman;serif"/>
          <w:b w:val="false"/>
          <w:color w:val="000000"/>
          <w:sz w:val="20"/>
        </w:rPr>
        <w:t xml:space="preserve">Potential dilutive shares consist of unvested RSUs and PSUs, calculated using the treasury stock method. The calculation of dilutive shares outstanding excludes certain unvested RSUs granted under certain subsidiaries’ executive ownership plans and long-term incentive plans, because their inclusion would have been antidilutive. Refer to </w:t>
      </w:r>
      <w:hyperlink w:anchor="i85d8b002594243e7b51da769cf4c7d6e_64">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Share-based Compensation, for further information about the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gross number of potential dilutive unvested RSUs and PSUs excluded due to antidilution (unadjusted for the treasury stock method): </w:t>
      </w:r>
    </w:p>
    <w:tbl>
      <w:tblPr>
        <w:tblW w:w="8696" w:type="dxa"/>
        <w:jc w:val="left"/>
        <w:tblInd w:w="0" w:type="dxa"/>
        <w:tblLayout w:type="fixed"/>
        <w:tblCellMar>
          <w:top w:w="28" w:type="dxa"/>
          <w:left w:w="28" w:type="dxa"/>
          <w:bottom w:w="28" w:type="dxa"/>
          <w:right w:w="28" w:type="dxa"/>
        </w:tblCellMar>
      </w:tblPr>
      <w:tblGrid>
        <w:gridCol w:w="422"/>
        <w:gridCol w:w="370"/>
        <w:gridCol w:w="377"/>
        <w:gridCol w:w="514"/>
        <w:gridCol w:w="514"/>
        <w:gridCol w:w="516"/>
        <w:gridCol w:w="138"/>
        <w:gridCol w:w="138"/>
        <w:gridCol w:w="138"/>
        <w:gridCol w:w="514"/>
        <w:gridCol w:w="514"/>
        <w:gridCol w:w="516"/>
        <w:gridCol w:w="109"/>
        <w:gridCol w:w="109"/>
        <w:gridCol w:w="109"/>
        <w:gridCol w:w="514"/>
        <w:gridCol w:w="514"/>
        <w:gridCol w:w="516"/>
        <w:gridCol w:w="188"/>
        <w:gridCol w:w="188"/>
        <w:gridCol w:w="188"/>
        <w:gridCol w:w="465"/>
        <w:gridCol w:w="465"/>
        <w:gridCol w:w="660"/>
      </w:tblGrid>
      <w:t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6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116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 Australia</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6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quarter and three quarters ended September 27, 2026 and the quarter and three quarters ended September 28, 2025, 1.8 million and 3.9 million time-vested stock options, respectively, comprising all of the time-vested stock options, were excluded from the computation of diluted weighted average common shares outstanding based on application of the treasury stock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Note 17 — Segment Reporting</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conducts business through the following three reportable segments: </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 xml:space="preserve">Includes all Company-owned operations in the U.S., and W.K.S. Krispy Kreme through the date of deconsolidation; </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International:</w:t>
      </w:r>
      <w:r>
        <w:rPr>
          <w:color w:val="000000"/>
        </w:rPr>
        <w:t xml:space="preserve"> </w:t>
      </w:r>
      <w:r>
        <w:rPr>
          <w:rFonts w:ascii="Times New Roman;serif" w:hAnsi="Times New Roman;serif"/>
          <w:b w:val="false"/>
          <w:color w:val="000000"/>
          <w:sz w:val="20"/>
        </w:rPr>
        <w:t xml:space="preserve">Includes Company-owned operations in the U.K., Ireland, Australia, New Zealand, Mexico, and Canada; as well as Japan through the date of disposition; and </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Market Development:</w:t>
      </w:r>
      <w:r>
        <w:rPr>
          <w:color w:val="000000"/>
        </w:rPr>
        <w:t xml:space="preserve"> </w:t>
      </w:r>
      <w:r>
        <w:rPr>
          <w:rFonts w:ascii="Times New Roman;serif" w:hAnsi="Times New Roman;serif"/>
          <w:b w:val="false"/>
          <w:color w:val="000000"/>
          <w:sz w:val="20"/>
        </w:rPr>
        <w:t>Includes franchise operations across the globe, including Krispy Kreme Japan after March 2, 2026, W.K.S. Krispy Kreme after March 23, 2026, and also includes Company-owned operations in France through Krispy Kreme France after May 25,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costs are excluded from the Company’s measurement of segment performance. These costs include general corporate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Segment information is identified and prepared on the same basis that the CEO, the Company’s Chief Operating Decision Maker (“CODM”), evaluates financial results, allocates resources, and makes key operating decisions. The Company’s operating segments reflect how the CODM allocates resources and assesses performance based on geography and line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primary financial measures used by the CODM to evaluate the performance of its operating segments are net revenues and segment Adjusted EBITDA. Beginning in the first quarter of fiscal 2026, the Company updated its segment profitability measure from segment Adjusted EBIT to segment Adjusted EBITDA to align with how the CODM evaluates performance. For all of the segments, the CODM uses segment Adjusted EBITDA to monitor and evaluate operating performance and to provide a consistent benchmark for comparison across reporting periods. This measure is prepared on a non-GAAP basis and, as such, the expense captions underlying it are designated as “adjusted.” The adjustments made are explained in the footnotes to the table that follows, which presents the reconciliation of Loss before income taxes to Adjusted EBITDA.</w:t>
      </w:r>
    </w:p>
    <w:p>
      <w:pPr>
        <w:pStyle w:val="TextBody"/>
        <w:bidi w:val="0"/>
        <w:spacing w:lineRule="auto" w:line="288" w:before="240" w:after="283"/>
        <w:jc w:val="both"/>
      </w:pPr>
      <w:r>
        <w:rPr>
          <w:rFonts w:ascii="Times New Roman;serif" w:hAnsi="Times New Roman;serif"/>
          <w:b w:val="false"/>
          <w:color w:val="000000"/>
          <w:sz w:val="20"/>
        </w:rPr>
        <w:t xml:space="preserve">The following tables reconcile segment results to consolidated results reported in accordance with GAAP. The accounting policies used for internal management reporting at the operating segments are consistent with those described in </w:t>
      </w:r>
      <w:hyperlink w:anchor="i85d8b002594243e7b51da769cf4c7d6e_115">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Description of Business and Summary of Significant Accounting Policies, to the Condensed Consolidated Financial Statements. The Company manages its assets on a total company basis and the CODM does not review asset information by segment when assessing performance or allocating resources. Consequently, the Company does not report total assets by reportable segment.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reportable segment results are as follows:</w:t>
      </w:r>
    </w:p>
    <w:tbl>
      <w:tblPr>
        <w:tblW w:w="10205" w:type="dxa"/>
        <w:jc w:val="left"/>
        <w:tblInd w:w="0" w:type="dxa"/>
        <w:tblLayout w:type="fixed"/>
        <w:tblCellMar>
          <w:top w:w="28" w:type="dxa"/>
          <w:left w:w="28" w:type="dxa"/>
          <w:bottom w:w="28" w:type="dxa"/>
          <w:right w:w="28" w:type="dxa"/>
        </w:tblCellMar>
      </w:tblPr>
      <w:tblGrid>
        <w:gridCol w:w="1287"/>
        <w:gridCol w:w="1068"/>
        <w:gridCol w:w="1051"/>
        <w:gridCol w:w="257"/>
        <w:gridCol w:w="1027"/>
        <w:gridCol w:w="133"/>
        <w:gridCol w:w="109"/>
        <w:gridCol w:w="109"/>
        <w:gridCol w:w="109"/>
        <w:gridCol w:w="257"/>
        <w:gridCol w:w="1027"/>
        <w:gridCol w:w="133"/>
        <w:gridCol w:w="109"/>
        <w:gridCol w:w="109"/>
        <w:gridCol w:w="109"/>
        <w:gridCol w:w="235"/>
        <w:gridCol w:w="1109"/>
        <w:gridCol w:w="121"/>
        <w:gridCol w:w="109"/>
        <w:gridCol w:w="109"/>
        <w:gridCol w:w="109"/>
        <w:gridCol w:w="235"/>
        <w:gridCol w:w="1105"/>
        <w:gridCol w:w="179"/>
      </w:tblGrid>
      <w:tr>
        <w:tc>
          <w:tcPr>
            <w:tcW w:w="128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U.S.</w:t>
            </w:r>
            <w:r>
              <w:rPr>
                <w:rFonts w:ascii="Times New Roman;serif" w:hAnsi="Times New Roman;serif"/>
                <w:b/>
                <w:i/>
                <w:color w:val="000000"/>
                <w:sz w:val="10"/>
              </w:rPr>
              <w:t>(1)</w:t>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adjusted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400,921 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 adjusted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U.S. Adjusted EBITDA</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13,861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21,010</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53,162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46,851</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adjusted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197,022 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 adjusted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International Adjusted EBITDA</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20,094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23,157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48,748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56,275</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Market Development Adjusted EBITDA</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18,468</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11,994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49,488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31,989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c>
          <w:tcPr>
            <w:tcW w:w="340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c>
          <w:tcPr>
            <w:tcW w:w="3406"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Reportable Segment</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reportable segment net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328,758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375,298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1,026,787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1,130,249</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reportable segment Adjusted EBITDA</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52,423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56,161</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151,398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135,115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lineRule="auto" w:line="288" w:before="0" w:after="0"/>
        <w:ind w:left="0" w:right="0" w:hanging="540"/>
        <w:jc w:val="left"/>
      </w:pPr>
      <w:r>
        <w:rPr>
          <w:rFonts w:ascii="Times New Roman;serif" w:hAnsi="Times New Roman;serif"/>
          <w:b w:val="false"/>
          <w:color w:val="000000"/>
          <w:sz w:val="13"/>
        </w:rPr>
        <w:t>(2)</w:t>
      </w:r>
      <w:r>
        <w:rPr>
          <w:rFonts w:ascii="Times New Roman;serif" w:hAnsi="Times New Roman;serif"/>
          <w:b w:val="false"/>
          <w:color w:val="000000"/>
          <w:sz w:val="20"/>
        </w:rPr>
        <w:t>The U.S. and International segments’ Other segment items consist of pre-opening costs and other expense/(income), net. The Market Development segment’s Other segment items consist of operating expenses, marketing expenses, pre-opening costs, and other expense/(income), net.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Loss before income taxes to Adjusted EBITDA:</w:t>
      </w:r>
    </w:p>
    <w:tbl>
      <w:tblPr>
        <w:tblW w:w="10205" w:type="dxa"/>
        <w:jc w:val="left"/>
        <w:tblInd w:w="0" w:type="dxa"/>
        <w:tblLayout w:type="fixed"/>
        <w:tblCellMar>
          <w:top w:w="28" w:type="dxa"/>
          <w:left w:w="28" w:type="dxa"/>
          <w:bottom w:w="28" w:type="dxa"/>
          <w:right w:w="28" w:type="dxa"/>
        </w:tblCellMar>
      </w:tblPr>
      <w:tblGrid>
        <w:gridCol w:w="1525"/>
        <w:gridCol w:w="1067"/>
        <w:gridCol w:w="1077"/>
        <w:gridCol w:w="260"/>
        <w:gridCol w:w="961"/>
        <w:gridCol w:w="134"/>
        <w:gridCol w:w="109"/>
        <w:gridCol w:w="109"/>
        <w:gridCol w:w="109"/>
        <w:gridCol w:w="260"/>
        <w:gridCol w:w="961"/>
        <w:gridCol w:w="134"/>
        <w:gridCol w:w="109"/>
        <w:gridCol w:w="109"/>
        <w:gridCol w:w="109"/>
        <w:gridCol w:w="253"/>
        <w:gridCol w:w="1012"/>
        <w:gridCol w:w="131"/>
        <w:gridCol w:w="109"/>
        <w:gridCol w:w="109"/>
        <w:gridCol w:w="109"/>
        <w:gridCol w:w="244"/>
        <w:gridCol w:w="1020"/>
        <w:gridCol w:w="185"/>
      </w:tblGrid>
      <w:tr>
        <w:tc>
          <w:tcPr>
            <w:tcW w:w="152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(22,176)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(22,947)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(65,356)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(520,590)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Other non-operating expense/(income), net </w:t>
            </w:r>
            <w:r>
              <w:rPr>
                <w:rFonts w:ascii="Times New Roman;serif" w:hAnsi="Times New Roman;serif"/>
                <w:b w:val="false"/>
                <w:color w:val="000000"/>
                <w:sz w:val="10"/>
              </w:rPr>
              <w:t>(1)</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Strategic initiatives </w:t>
            </w:r>
            <w:r>
              <w:rPr>
                <w:rFonts w:ascii="Times New Roman;serif" w:hAnsi="Times New Roman;serif"/>
                <w:b w:val="false"/>
                <w:color w:val="000000"/>
                <w:sz w:val="10"/>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Acquisition and integration expenses </w:t>
            </w:r>
            <w:r>
              <w:rPr>
                <w:rFonts w:ascii="Times New Roman;serif" w:hAnsi="Times New Roman;serif"/>
                <w:b w:val="false"/>
                <w:color w:val="000000"/>
                <w:sz w:val="10"/>
              </w:rPr>
              <w:t>(3)</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New market penetration expenses </w:t>
            </w:r>
            <w:r>
              <w:rPr>
                <w:rFonts w:ascii="Times New Roman;serif" w:hAnsi="Times New Roman;serif"/>
                <w:b w:val="false"/>
                <w:color w:val="000000"/>
                <w:sz w:val="10"/>
              </w:rPr>
              <w:t>(4)</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Shop closure expenses, net </w:t>
            </w:r>
            <w:r>
              <w:rPr>
                <w:rFonts w:ascii="Times New Roman;serif" w:hAnsi="Times New Roman;serif"/>
                <w:b w:val="false"/>
                <w:color w:val="000000"/>
                <w:sz w:val="10"/>
              </w:rPr>
              <w:t>(5)</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Restructuring and severance expenses </w:t>
            </w:r>
            <w:r>
              <w:rPr>
                <w:rFonts w:ascii="Times New Roman;serif" w:hAnsi="Times New Roman;serif"/>
                <w:b w:val="false"/>
                <w:color w:val="000000"/>
                <w:sz w:val="10"/>
              </w:rPr>
              <w:t>(6)</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Gain on refranchising </w:t>
            </w:r>
            <w:r>
              <w:rPr>
                <w:rFonts w:ascii="Times New Roman;serif" w:hAnsi="Times New Roman;serif"/>
                <w:b w:val="false"/>
                <w:color w:val="000000"/>
                <w:sz w:val="10"/>
              </w:rPr>
              <w:t>(7)</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Other </w:t>
            </w:r>
            <w:r>
              <w:rPr>
                <w:rFonts w:ascii="Times New Roman;serif" w:hAnsi="Times New Roman;serif"/>
                <w:b w:val="false"/>
                <w:color w:val="000000"/>
                <w:sz w:val="10"/>
              </w:rPr>
              <w:t>(8)</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Amortization of acquisition related intangibles </w:t>
            </w:r>
            <w:r>
              <w:rPr>
                <w:rFonts w:ascii="Times New Roman;serif" w:hAnsi="Times New Roman;serif"/>
                <w:b w:val="false"/>
                <w:color w:val="000000"/>
                <w:sz w:val="10"/>
              </w:rPr>
              <w:t>(9)</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Unallocated corporate expenses</w:t>
            </w:r>
            <w:r>
              <w:rPr>
                <w:rFonts w:ascii="Times New Roman;serif" w:hAnsi="Times New Roman;serif"/>
                <w:b w:val="false"/>
                <w:color w:val="000000"/>
                <w:sz w:val="10"/>
              </w:rPr>
              <w:t>(10)</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amortization of right of use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80"/>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52,423</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56,161</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151,398</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135,115</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Primarily foreign translation gains and losses in each period. The three quarters ended September 28, 2025 also consists of equity method income from Insomnia Cookies following the divestiture of a controlling interest in Insomnia Cookies during fiscal 2024 until the sale of our remaining interest in the second quarter of fiscal 2025.</w:t>
      </w:r>
    </w:p>
    <w:p>
      <w:pPr>
        <w:pStyle w:val="TextBody"/>
        <w:bidi w:val="0"/>
        <w:spacing w:lineRule="auto" w:line="288" w:before="0" w:after="0"/>
        <w:ind w:left="0" w:right="0" w:hanging="360"/>
        <w:jc w:val="left"/>
      </w:pPr>
      <w:r>
        <w:rPr>
          <w:rFonts w:ascii="Times New Roman;serif" w:hAnsi="Times New Roman;serif"/>
          <w:b w:val="false"/>
          <w:color w:val="000000"/>
          <w:sz w:val="13"/>
        </w:rPr>
        <w:t>(2)</w:t>
      </w:r>
      <w:r>
        <w:rPr>
          <w:rFonts w:ascii="Times New Roman;serif" w:hAnsi="Times New Roman;serif"/>
          <w:b w:val="false"/>
          <w:color w:val="000000"/>
          <w:sz w:val="20"/>
        </w:rPr>
        <w:t>The quarter and three quarters ended September 27, 2026 consist primarily of $1.3 million and $7.6 million, respectively, of costs associated with the evaluation and execution of refranchising certain equity markets as well as $1.6 million and $5.8 million, respectively, in costs associated with the transition to third-party logistics in the U.S.; of that amount $1.1 million and $4.4 million, respectively, is related to non-cash impairments. The quarter and three quarters ended September 28, 2025 consist primarily of $9.9 million and $33.2 million, respectively, of costs associated with preparing for and executing the U.S. national expansion.</w:t>
      </w:r>
    </w:p>
    <w:p>
      <w:pPr>
        <w:pStyle w:val="TextBody"/>
        <w:bidi w:val="0"/>
        <w:spacing w:lineRule="auto" w:line="288" w:before="0" w:after="0"/>
        <w:ind w:left="0" w:right="0" w:hanging="360"/>
        <w:jc w:val="both"/>
      </w:pPr>
      <w:r>
        <w:rPr>
          <w:rFonts w:ascii="Times New Roman;serif" w:hAnsi="Times New Roman;serif"/>
          <w:b w:val="false"/>
          <w:color w:val="000000"/>
          <w:sz w:val="13"/>
        </w:rPr>
        <w:t>(3)</w:t>
      </w:r>
      <w:r>
        <w:rPr>
          <w:rFonts w:ascii="Times New Roman;serif" w:hAnsi="Times New Roman;serif"/>
          <w:b w:val="false"/>
          <w:color w:val="000000"/>
          <w:sz w:val="20"/>
        </w:rPr>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pStyle w:val="TextBody"/>
        <w:bidi w:val="0"/>
        <w:spacing w:lineRule="auto" w:line="288" w:before="0" w:after="0"/>
        <w:ind w:left="0" w:right="0" w:hanging="360"/>
        <w:jc w:val="both"/>
      </w:pPr>
      <w:r>
        <w:rPr>
          <w:rFonts w:ascii="Times New Roman;serif" w:hAnsi="Times New Roman;serif"/>
          <w:b w:val="false"/>
          <w:color w:val="000000"/>
          <w:sz w:val="13"/>
        </w:rPr>
        <w:t>(4)</w:t>
      </w:r>
      <w:r>
        <w:rPr>
          <w:rFonts w:ascii="Times New Roman;serif" w:hAnsi="Times New Roman;serif"/>
          <w:b w:val="false"/>
          <w:color w:val="000000"/>
          <w:sz w:val="20"/>
        </w:rPr>
        <w:t>Consists of start-up costs associated with entry into new countries in which the Company’s brands had not previously operated, including Brazil and Spain.</w:t>
      </w:r>
    </w:p>
    <w:p>
      <w:pPr>
        <w:pStyle w:val="TextBody"/>
        <w:bidi w:val="0"/>
        <w:spacing w:lineRule="auto" w:line="288" w:before="0" w:after="0"/>
        <w:ind w:left="0" w:right="0" w:hanging="360"/>
        <w:jc w:val="both"/>
      </w:pPr>
      <w:r>
        <w:rPr>
          <w:rFonts w:ascii="Times New Roman;serif" w:hAnsi="Times New Roman;serif"/>
          <w:b w:val="false"/>
          <w:color w:val="000000"/>
          <w:sz w:val="13"/>
        </w:rPr>
        <w:t>(5)</w:t>
      </w:r>
      <w:r>
        <w:rPr>
          <w:rFonts w:ascii="Times New Roman;serif" w:hAnsi="Times New Roman;serif"/>
          <w:b w:val="false"/>
          <w:color w:val="000000"/>
          <w:sz w:val="20"/>
        </w:rPr>
        <w:t xml:space="preserve">Includes lease termination costs, impairment charges, and loss on disposal of property, plant and equipment. </w:t>
      </w:r>
    </w:p>
    <w:p>
      <w:pPr>
        <w:pStyle w:val="TextBody"/>
        <w:bidi w:val="0"/>
        <w:spacing w:lineRule="auto" w:line="288" w:before="0" w:after="0"/>
        <w:ind w:left="0" w:right="0" w:hanging="360"/>
        <w:jc w:val="both"/>
      </w:pPr>
      <w:r>
        <w:rPr>
          <w:rFonts w:ascii="Times New Roman;serif" w:hAnsi="Times New Roman;serif"/>
          <w:b w:val="false"/>
          <w:color w:val="000000"/>
          <w:sz w:val="13"/>
        </w:rPr>
        <w:t>(6)</w:t>
      </w:r>
      <w:r>
        <w:rPr>
          <w:rFonts w:ascii="Times New Roman;serif" w:hAnsi="Times New Roman;serif"/>
          <w:b w:val="false"/>
          <w:color w:val="000000"/>
          <w:sz w:val="20"/>
        </w:rPr>
        <w:t>The quarter and three quarters ended September 27, 2026 consist primarily of costs associated with restructuring the Australia and New Zealand business. The quarter and three quarters ended September 28, 2025 consist primarily of costs associated with restructuring of the U.S. and U.K. businesses.</w:t>
      </w:r>
    </w:p>
    <w:p>
      <w:pPr>
        <w:pStyle w:val="TextBody"/>
        <w:bidi w:val="0"/>
        <w:spacing w:lineRule="auto" w:line="288" w:before="0" w:after="0"/>
        <w:ind w:left="0" w:right="0" w:hanging="360"/>
        <w:jc w:val="left"/>
      </w:pPr>
      <w:r>
        <w:rPr>
          <w:rFonts w:ascii="Times New Roman;serif" w:hAnsi="Times New Roman;serif"/>
          <w:b w:val="false"/>
          <w:color w:val="000000"/>
          <w:sz w:val="13"/>
        </w:rPr>
        <w:t>(7)</w:t>
      </w:r>
      <w:r>
        <w:rPr>
          <w:rFonts w:ascii="Times New Roman;serif" w:hAnsi="Times New Roman;serif"/>
          <w:b w:val="false"/>
          <w:color w:val="000000"/>
          <w:sz w:val="20"/>
        </w:rPr>
        <w:t>Includes gains and losses on the deconsolidation of assets and liabilities associated with the refranchising of Krispy Kreme shops.</w:t>
      </w:r>
    </w:p>
    <w:p>
      <w:pPr>
        <w:pStyle w:val="TextBody"/>
        <w:bidi w:val="0"/>
        <w:spacing w:lineRule="auto" w:line="288" w:before="0" w:after="0"/>
        <w:ind w:left="0" w:right="0" w:hanging="360"/>
        <w:jc w:val="both"/>
      </w:pPr>
      <w:r>
        <w:rPr>
          <w:rFonts w:ascii="Times New Roman;serif" w:hAnsi="Times New Roman;serif"/>
          <w:b w:val="false"/>
          <w:color w:val="000000"/>
          <w:sz w:val="13"/>
        </w:rPr>
        <w:t>(8)</w:t>
      </w:r>
      <w:r>
        <w:rPr>
          <w:rFonts w:ascii="Times New Roman;serif" w:hAnsi="Times New Roman;serif"/>
          <w:b w:val="false"/>
          <w:color w:val="000000"/>
          <w:sz w:val="20"/>
        </w:rPr>
        <w:t xml:space="preserve">The quarter and three quarters ended September 27, 2026 consists primarily of $1.6 million and $3.2 million, respectively, of legal fees primarily related to litigation matters, as well as $1.1 million of costs for the quarter and three quarters ended September 27, 2026, associated with the execution of the turnaround plan. Refer to </w:t>
      </w:r>
      <w:hyperlink w:anchor="i85d8b002594243e7b51da769cf4c7d6e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for more information. The quarter and three quarters ended September 28, 2025 consist primarily of $1.5 million and $6.8 million, respectively, in costs related to remediation of the 2024 Cybersecurity Incident, including fees for cybersecurity experts and other advisors.</w:t>
      </w:r>
    </w:p>
    <w:p>
      <w:pPr>
        <w:pStyle w:val="TextBody"/>
        <w:bidi w:val="0"/>
        <w:spacing w:lineRule="auto" w:line="288" w:before="0" w:after="0"/>
        <w:ind w:left="0" w:right="0" w:hanging="360"/>
        <w:jc w:val="both"/>
      </w:pPr>
      <w:r>
        <w:rPr>
          <w:rFonts w:ascii="Times New Roman;serif" w:hAnsi="Times New Roman;serif"/>
          <w:b w:val="false"/>
          <w:color w:val="000000"/>
          <w:sz w:val="13"/>
        </w:rPr>
        <w:t>(9)</w:t>
      </w:r>
      <w:r>
        <w:rPr>
          <w:rFonts w:ascii="Times New Roman;serif" w:hAnsi="Times New Roman;serif"/>
          <w:b w:val="false"/>
          <w:color w:val="000000"/>
          <w:sz w:val="20"/>
        </w:rPr>
        <w:t>Consists of amortization related to acquired intangible assets as reflected within depreciation and amortization in the Condensed Consolidated Statements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pPr>
      <w:r>
        <w:rPr>
          <w:rFonts w:ascii="Times New Roman;serif" w:hAnsi="Times New Roman;serif"/>
          <w:b w:val="false"/>
          <w:color w:val="000000"/>
          <w:sz w:val="13"/>
        </w:rPr>
        <w:t>(10)</w:t>
      </w:r>
      <w:r>
        <w:rPr>
          <w:rFonts w:ascii="Times New Roman;serif" w:hAnsi="Times New Roman;serif"/>
          <w:b w:val="false"/>
          <w:color w:val="000000"/>
          <w:sz w:val="20"/>
        </w:rPr>
        <w:t xml:space="preserve">Corporate expenses are not included in the CODM’s measure of segment profitability. These amounts are presented as a reconciling item between total reportable segment Adjusted EBITDA and consolidated Adjusted EBITDA. In the quarter and three quarters ended September 27, 2026 corporate expenses consist primarily of $18.6 million and $59.1 million, respectively, and the quarter and three quarters ended September 28, 2025 consist of $17.9 million and $57.6 million, respectively, in selling, general and administrative expenses, which principally comprise payroll and benefits for corporate functions, professional fees, enterprise information technology, and other headquarters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Note 18 —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transactions described below, the Company maintained agreements with its joint venture partners that held noncontrolling interests in the Company’s consolidated subsidiaries W.K.S. Krispy Kreme and KK Canada, which included contractual put options. The put options, held by the noncontrolling joint venture partners, provided the right for each such partner to sell its remaining interest in W.K.S. Krispy Kreme and KK Canada to the Company based on a predetermined formula. The put options became exercisable upon the passage of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interests were considered redeemable due to the existence of the put options as (i) the noncontrolling joint venture partners could put their shares of W.K.S. Krispy Kreme and KK Canada to the Company, (ii) the put was outside the Company’s control, and (iii) it was probable of becoming redeemable solely based on the passage of time. The put options cannot be separated from the noncontrolling interest and did not require bifurcation from the noncontrolling interest under the guidance in ASC 815. </w:t>
      </w:r>
    </w:p>
    <w:p>
      <w:pPr>
        <w:pStyle w:val="TextBody"/>
        <w:bidi w:val="0"/>
        <w:spacing w:lineRule="auto" w:line="288" w:before="240" w:after="283"/>
        <w:jc w:val="both"/>
      </w:pPr>
      <w:r>
        <w:rPr>
          <w:rFonts w:ascii="Times New Roman;serif" w:hAnsi="Times New Roman;serif"/>
          <w:b w:val="false"/>
          <w:color w:val="000000"/>
          <w:sz w:val="20"/>
        </w:rPr>
        <w:t>The noncontrolling interest was classified as redeemable noncontrolling interest within Mezzanine equity on the Condensed Consolidated Balance Sheets. When redeemable noncontrolling interest becomes redeemable, or it is probable of becoming redeemable, its value is adjusted to the greater of the current redemption value or carrying value.</w:t>
      </w:r>
      <w:r>
        <w:rPr>
          <w:color w:val="000000"/>
        </w:rPr>
        <w:t xml:space="preserve"> </w:t>
      </w:r>
      <w:r>
        <w:rPr>
          <w:rFonts w:ascii="Times New Roman;serif" w:hAnsi="Times New Roman;serif"/>
          <w:b w:val="false"/>
          <w:color w:val="000000"/>
          <w:sz w:val="20"/>
        </w:rPr>
        <w:t>The redemption value is remeasured on a quarterly basis based on the predetermined formula set forth in the Company’s agreements with the joint venture partners.</w:t>
      </w:r>
    </w:p>
    <w:p>
      <w:pPr>
        <w:pStyle w:val="TextBody"/>
        <w:bidi w:val="0"/>
        <w:spacing w:lineRule="auto" w:line="288" w:before="240" w:after="283"/>
        <w:jc w:val="both"/>
      </w:pPr>
      <w:r>
        <w:rPr>
          <w:rFonts w:ascii="Times New Roman;serif" w:hAnsi="Times New Roman;serif"/>
          <w:b w:val="false"/>
          <w:color w:val="000000"/>
          <w:sz w:val="20"/>
        </w:rPr>
        <w:t xml:space="preserve">On March 23, 2026, the Company completed a refranchising transaction that resulted in, among other things, a decrease in ownership interest in W.K.S. Krispy Kreme to 20%. As a result of the WKS Refranchising, described in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the Company no longer has an interest classified as a redeemable noncontrolling interest in W.K.S. Krispy Kreme as of that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joint venture partners in KK Canada notified the Company of their election to exercise their rights to require the Company to redeem all interests held by such noncontrolling interest holders, which required the Company to purchase the additional 43.48% equity interest in KK Canada. The purchase, which was completed in the second quarter of 2026, increased the Company’s ownership from 56.52% to 100%. As a result of the exercise, the Company reclassified its redeemable noncontrolling interest to a liability, which is reflected in Accrued liabilities in the Condensed Consolidated Balance Sheet as of March 29, 2026. The purchase price of $25.1 million for the additional equity interest in KK Canada was paid during the second quarter of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redeemable noncontrolling interests are as follows:</w:t>
      </w:r>
    </w:p>
    <w:p>
      <w:pPr>
        <w:pStyle w:val="TextBody"/>
        <w:bidi w:val="0"/>
        <w:spacing w:before="0" w:after="0"/>
        <w:jc w:val="left"/>
      </w:pPr>
      <w:r/>
    </w:p>
    <w:tbl>
      <w:tblPr>
        <w:tblW w:w="6461" w:type="dxa"/>
        <w:jc w:val="left"/>
        <w:tblInd w:w="0" w:type="dxa"/>
        <w:tblLayout w:type="fixed"/>
        <w:tblCellMar>
          <w:top w:w="28" w:type="dxa"/>
          <w:left w:w="28" w:type="dxa"/>
          <w:bottom w:w="28" w:type="dxa"/>
          <w:right w:w="28" w:type="dxa"/>
        </w:tblCellMar>
      </w:tblPr>
      <w:tblGrid>
        <w:gridCol w:w="1580"/>
        <w:gridCol w:w="1388"/>
        <w:gridCol w:w="1396"/>
        <w:gridCol w:w="109"/>
        <w:gridCol w:w="109"/>
        <w:gridCol w:w="109"/>
        <w:gridCol w:w="344"/>
        <w:gridCol w:w="1175"/>
        <w:gridCol w:w="251"/>
      </w:tblGrid>
      <w:t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upon refranchising of W.K.S. Krispy Kreme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to redemption value of KK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together with our unaudited Condensed Consolidated Financial Statements and related notes included elsewhere in this Quarterly Report on Form 10-Q (this “Form 10-Q”), as well as our audited Consolidated Financial Statements and related notes included in our Annual Report on Form 10-K, and in other reports filed subsequently with the U.S. Securities and Exchange Commission (“SEC”).</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included in this Form 10-Q is forward-looking within the meaning of the Private Securities Litigation Reform Act of 1995, and involves risks, assumptions, and uncertainties that could cause actual results to differ materially from those expressed or implied by forward-looking statements. Forward-looking statements can be identified by use of forward-looking terminology, including terms such as “plan,” “believe,” “may,” “continue,” “could,” “will,” “should,” “would,” “anticipate,” “attempt,” “estimate,” “expect,” “intend,” “objective,” “seek,” “pursue,” “strive,” or the negatives of these words, comparable terminology, or other references to future periods; however, statements may be forward-looking whether or not these terms or their negatives are used. Forward-looking statements are not a representation by us that the future plans, estimates, or expectations contemplated by us will be achieved. Our actual results could differ materially from the forward-looking statements included herein. We consider the assumptions and estimates on which forward-looking statements are based to be reasonable, but they are subject to various risks and uncertainties relating to our operations, financial results, financial conditions, business, prospects, future plans and strategies, projections, liquidity, the economy, and other future conditions. Therefore, you should not place undue reliance on any of these forward-looking statements. Important factors could cause our actual results to differ materially from those contained in forward-looking statements including, without limitation: food safety issues, including risks of food-borne illnesses, tampering, contamination, and cross-contamination; impacts from any material failure, inadequacy, or interruption of our information technology systems, including breaches or failures of such systems or other cybersecurity or data security-related incidents; our ability to execute our business strategy, including our turnaround plan and growth through international development with strategic partners and profitable expansion of our fresh delivery and digital channels; our ability to realize the anticipated benefits from past or potential future strategic transactions (including refranchising); failure by our franchisees, sub-franchisees, or third-party service providers to operate effectively and in compliance with our standards and applicable law; any harm to our reputation or brand image; negative impacts on our business due to changes in consumer spending habits, consumer preferences, or demographic trends; our ability to open new and maintain existing shops and points of access both domestically and internationally; disruptions to our and our franchisees’ supply chain, including the loss of or failure to perform by single-source or limited suppliers, vendors, distributors, or manufacturers; our significant indebtedness and our ability to meet the financial and other covenants under our credit facilities; changes in the cost of raw materials and fuel or other commodities, including due to import and export requirements (including tariffs), inflation, fluctuations in foreign exchange rates, or heightened geopolitical tensions (including the recent Iran conflict); our ability to recruit and retain key personnel; failure to develop or maintain effective internal control over financial reporting or disclosure controls and procedures; adverse regulatory actions or publicity concerning food or occupational safety, food quality, health, and other issues or regulatory investigations, enforcement actions, or material litigation; and other risks and uncertainties described under the heading “Risk Factors” and elsewhere in our Annual Report on Form 10-K, filed by us with the SEC and in other filings we make from time to time with the SEC. These forward-looking statements are made only as of the date of this document, and we undertake no obligation to publicly update or revise any forward-looking statement whether as a result of new information, future events,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pPr>
      <w:r>
        <w:rPr>
          <w:rFonts w:ascii="Times New Roman;serif" w:hAnsi="Times New Roman;serif"/>
          <w:b/>
          <w:color w:val="006938"/>
          <w:sz w:val="20"/>
        </w:rPr>
        <w:t>Overview</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Krispy Kreme is one of the most beloved and well-known sweet treat brands in the world. Krispy Kreme operates in more than 40 countries through its unique network of shops (“Doughnut Shops”), partnerships with leading retailers, and growing digital business. Our purpose is to touch and enhance lives through the joy that is Krispy Kreme. We are an omni-channel business that focuses on fresh, high-quality doughnuts with 15,889 points of access globally as of the end of the third quarter of fiscal 2026. We refer to the points of access where consumers can purchase our doughnuts as our “Global Points of Access” or, when referring to points of access in a particular region or segment, “Points of Access.” We sell doughnuts to consumers through three main channels: (1) Hot Light Theater Shops and Fresh Shops, (2) fresh delivery, and (3) digital.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financial results for the periods presented: </w:t>
      </w:r>
    </w:p>
    <w:tbl>
      <w:tblPr>
        <w:tblW w:w="10205" w:type="dxa"/>
        <w:jc w:val="left"/>
        <w:tblInd w:w="0" w:type="dxa"/>
        <w:tblLayout w:type="fixed"/>
        <w:tblCellMar>
          <w:top w:w="28" w:type="dxa"/>
          <w:left w:w="28" w:type="dxa"/>
          <w:bottom w:w="28" w:type="dxa"/>
          <w:right w:w="28" w:type="dxa"/>
        </w:tblCellMar>
      </w:tblPr>
      <w:tblGrid>
        <w:gridCol w:w="591"/>
        <w:gridCol w:w="390"/>
        <w:gridCol w:w="393"/>
        <w:gridCol w:w="218"/>
        <w:gridCol w:w="855"/>
        <w:gridCol w:w="112"/>
        <w:gridCol w:w="109"/>
        <w:gridCol w:w="109"/>
        <w:gridCol w:w="109"/>
        <w:gridCol w:w="218"/>
        <w:gridCol w:w="855"/>
        <w:gridCol w:w="112"/>
        <w:gridCol w:w="109"/>
        <w:gridCol w:w="109"/>
        <w:gridCol w:w="109"/>
        <w:gridCol w:w="308"/>
        <w:gridCol w:w="308"/>
        <w:gridCol w:w="483"/>
        <w:gridCol w:w="109"/>
        <w:gridCol w:w="109"/>
        <w:gridCol w:w="109"/>
        <w:gridCol w:w="215"/>
        <w:gridCol w:w="995"/>
        <w:gridCol w:w="111"/>
        <w:gridCol w:w="109"/>
        <w:gridCol w:w="109"/>
        <w:gridCol w:w="109"/>
        <w:gridCol w:w="215"/>
        <w:gridCol w:w="995"/>
        <w:gridCol w:w="111"/>
        <w:gridCol w:w="109"/>
        <w:gridCol w:w="109"/>
        <w:gridCol w:w="109"/>
        <w:gridCol w:w="264"/>
        <w:gridCol w:w="268"/>
        <w:gridCol w:w="553"/>
      </w:tblGrid>
      <w:tr>
        <w:tc>
          <w:tcPr>
            <w:tcW w:w="5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Net Revenues </w:t>
            </w:r>
            <w:r>
              <w:rPr>
                <w:rFonts w:ascii="Times New Roman;serif" w:hAnsi="Times New Roman;serif"/>
                <w:b w:val="false"/>
                <w:color w:val="000000"/>
                <w:sz w:val="10"/>
              </w:rPr>
              <w:t>(1)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Krispy Kreme, Inc. </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Adjusted Net Income/(Loss), Diluted </w:t>
            </w:r>
            <w:r>
              <w:rPr>
                <w:rFonts w:ascii="Times New Roman;serif" w:hAnsi="Times New Roman;serif"/>
                <w:b w:val="false"/>
                <w:color w:val="000000"/>
                <w:sz w:val="10"/>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7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 xml:space="preserve">Adjusted EBITDA </w:t>
            </w:r>
            <w:r>
              <w:rPr>
                <w:rFonts w:ascii="Times New Roman;serif" w:hAnsi="Times New Roman;serif"/>
                <w:b w:val="false"/>
                <w:color w:val="000000"/>
                <w:sz w:val="10"/>
              </w:rPr>
              <w:t>(2)</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Organic revenue decline was 0.1% and 1.0%, respectively, in the quarter and three quarters ended September 27, 2026. Refer to “</w:t>
      </w:r>
      <w:hyperlink w:anchor="i85d8b002594243e7b51da769cf4c7d6e_106">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below for more information on and the calculation of organic revenue growth/(decline).</w:t>
      </w:r>
    </w:p>
    <w:p>
      <w:pPr>
        <w:pStyle w:val="TextBody"/>
        <w:bidi w:val="0"/>
        <w:spacing w:lineRule="auto" w:line="288" w:before="0" w:after="0"/>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Refer to “</w:t>
      </w:r>
      <w:hyperlink w:anchor="i85d8b002594243e7b51da769cf4c7d6e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below for more information as to how we define and calculate Adjusted EBITDA and Adjusted Net Income/(Loss), Diluted and for a reconciliation of Adjusted EBITDA and Adjusted Net Income/(Loss), Diluted to the most comparable measure calculated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Significant Events and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Turnaround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comprehensive turnaround plan, announced in August 2025, is designed to deleverage the balance sheet and deliver sustainable, profitable growth. The four components of the plan and certain progress made on each component are as follows:</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Refranchising</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Improve financial flexibility through pursuit of opportunities to refranchise certain international equity markets. In the first three quarters of fiscal 2026, we restructured our consolidated subsidiary in the western U.S., W.K.S. Krispy Kreme, to a minority ownership interest and completed the sale of our operations in Japan. We continue to evaluate additional refranchising opportunities and remain focused on identifying the right partners both in international markets and the U.S. to maximize value and position the Company for long-term growth.</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 xml:space="preserve">Improving return on invested capital: </w:t>
      </w:r>
      <w:r>
        <w:rPr>
          <w:rFonts w:ascii="Times New Roman;serif" w:hAnsi="Times New Roman;serif"/>
          <w:b w:val="false"/>
          <w:color w:val="000000"/>
          <w:sz w:val="20"/>
        </w:rPr>
        <w:t>Reduce capital intensity by using existing assets and focusing on franchise development. During the first three quarters of fiscal 2026, capital expenditures decreased by $52.2 million when compared to the first three quarters of fiscal 2025, and we expect to continue to reduce capital investment in fiscal 2026 compared to fiscal 2025. We are also making selective, capital-light investments in geographies which currently have limited access to our products or where we have insufficient production to meet demand. This includes expansion into new international franchise markets. We entered into agreements for three new markets, the Netherlands, Estonia, and Mauritius, during the first three quarters of fiscal 2026. In the first three quarters of fiscal 2026, 98 shops have been opened, nearly all franchised, and we remain on track to open at least 100 new shops in 2026.</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 xml:space="preserve">Expanding profit margins: </w:t>
      </w:r>
      <w:r>
        <w:rPr>
          <w:rFonts w:ascii="Times New Roman;serif" w:hAnsi="Times New Roman;serif"/>
          <w:b w:val="false"/>
          <w:color w:val="000000"/>
          <w:sz w:val="20"/>
        </w:rPr>
        <w:t>Expand profit margins through greater operational efficiency. During the first three quarters of fiscal 2026, we continued our focus in the U.S. on making doughnuts more efficiently through enhancing production planning, streamlining Hub operations, and improving labor productivity. In addition, we continued our focus on delivering fresh doughnuts more efficiently through improved route management, improved demand planning, optimization of production and delivery schedules, and outsourced U.S. logistics to third-party logistics (“3PL”) carriers which we completed in the second quarter of fiscal 2026.</w:t>
      </w:r>
    </w:p>
    <w:p>
      <w:pPr>
        <w:pStyle w:val="TextBody"/>
        <w:bidi w:val="0"/>
        <w:spacing w:lineRule="auto" w:line="288" w:before="120" w:after="283"/>
        <w:ind w:left="0" w:right="0" w:hanging="540"/>
        <w:jc w:val="both"/>
      </w:pPr>
      <w:r>
        <w:rPr>
          <w:color w:val="000000"/>
        </w:rPr>
        <w:t>•</w:t>
      </w:r>
      <w:r>
        <w:rPr>
          <w:rFonts w:ascii="Times New Roman;serif" w:hAnsi="Times New Roman;serif"/>
          <w:b/>
          <w:i/>
          <w:color w:val="000000"/>
          <w:sz w:val="20"/>
        </w:rPr>
        <w:t xml:space="preserve">Driving sustainable, profitable growth: </w:t>
      </w:r>
      <w:r>
        <w:rPr>
          <w:rFonts w:ascii="Times New Roman;serif" w:hAnsi="Times New Roman;serif"/>
          <w:b w:val="false"/>
          <w:color w:val="000000"/>
          <w:sz w:val="20"/>
        </w:rPr>
        <w:t>Pursue U.S. growth based upon sustainable and profitable revenue streams. During the first three quarters of fiscal 2026, the number of fresh delivery doors, inclusive of both Company- and franchise-operated locations, increased 526 doors in the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Digital, Brand, and Innovation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prioritize expanding our digital channel sales, which grew in the first three quarters of fiscal 2026 compared to the first three quarters of fiscal 2025. We believe growth in our digital channel is primarily due to improvements in our branded digital platform as well as increasing product availability through third-party digital channels, including delivery apps and our customers’ digital platforms. Innovation is also a significant driver of frequency as we create promotions and products that attract media outlets to our brand across our Global Points of Access. Additionally, we deliver new product experiences that align with seasonal and trending consumer and societal interests and create positive connections through simple, frequent, brand-focused offerings that encourage shared experiences. During the third quarter of fiscal 2026, we delivered the joy that is Krispy Kreme by spotlighting our core offerings such as the Original Glazed doughnut, supplemented by specialty doughnut offerings and seasonal activations, including Pokémon, Girl Scout Cookie Inspired doughnuts, Pumpkin Spice Original Glazed, Apple Cider Original Glazed and many others around the world.</w:t>
      </w:r>
    </w:p>
    <w:p>
      <w:pPr>
        <w:pStyle w:val="TextBody"/>
        <w:bidi w:val="0"/>
        <w:spacing w:before="240" w:after="283"/>
        <w:jc w:val="center"/>
      </w:pPr>
      <w:r>
        <w:drawing>
          <wp:inline distT="0" distB="0" distL="0" distR="0">
            <wp:extent cx="4572000" cy="25717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4572000" cy="2571750"/>
                    </a:xfrm>
                    <a:prstGeom prst="rect">
                      <a:avLst/>
                    </a:prstGeom>
                  </pic:spPr>
                </pic:pic>
              </a:graphicData>
            </a:graphic>
          </wp:inline>
        </w:drawing>
      </w:r>
      <w:bookmarkStart w:id="1" w:name="i-2"/>
      <w:bookmarkEnd w:id="1"/>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Termination of the Business Relationship Agreement with McDonald’s USA</w:t>
      </w:r>
    </w:p>
    <w:p>
      <w:pPr>
        <w:pStyle w:val="TextBody"/>
        <w:bidi w:val="0"/>
        <w:spacing w:lineRule="auto" w:line="288" w:before="120" w:after="283"/>
        <w:jc w:val="both"/>
      </w:pPr>
      <w:r>
        <w:rPr>
          <w:rFonts w:ascii="Times New Roman;serif" w:hAnsi="Times New Roman;serif"/>
          <w:b w:val="false"/>
          <w:color w:val="000000"/>
          <w:sz w:val="20"/>
        </w:rPr>
        <w:t xml:space="preserve">On June 24, 2025, we and McDonald’s USA announced that our companies jointly decided to terminate the Business Relationship Agreement effective July 2, 2025, resulting in the reduction of approximately 2,400 fresh delivery doors in the third quarter of fiscal 2025. We worked to quickly remove costs related to the McDonald’s USA partnership. Refer to </w:t>
      </w:r>
      <w:hyperlink w:anchor="i85d8b002594243e7b51da769cf4c7d6e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Description of Business and Summary of Significant Accounting Policies, to the Condensed Consolidated Financial Statements included in Item 1 of Part I of this Form 10-Q (the “Condensed Consolidated Financial Statements”) for further information.</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2024 Cybersecurity Incident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during the fourth quarter of fiscal 2024, unauthorized activity on a portion of our information technology systems resulted in our experiencing certain operational disruptions, including with online ordering in parts of the U.S. (the “2024 Cybersecurity Incident”). We incurred losses and costs from the incident, primarily in the fourth quarter of fiscal 2024 and early in the first quarter of fiscal 2025. We hold cybersecurity insurance which offset a portion of the losses and costs from the incident. The investigation of the 2024 Cybersecurity Incident was substantially completed in the second quarter of fiscal 2025.</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Tariffs, Global Trade, and Geopolitical Uncertainty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imposition of tariffs by the U.S. on imports has heightened uncertainty in the global trade environment. These tariffs, along with retaliatory measures by other countries, may increase inflationary pressure and raise the costs of our imported commodities, including, but not limited to, palm oil. Additionally, the broader implications of tariff-driven price increases could influence consumer spending habits and negatively affect our business. These factors have caused, and may continue to cause, substantial uncertainty and volatility in financial markets, and may result in further retaliatory measures.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above, conflicts involving Iran, and in the Middle East more broadly, have contributed to increased global economic instability and increases in fuel and other commodity prices, exacerbating inflationary pressures. These developments could impact our business by way of supply chain disruptions and increasing transportation costs, contributing to higher costs of materials and logistics across our global supply chain. We are monitoring developments with respect to the ongoing military conflict with Iran including the impact on global commodity prices and potential logistics disruptions. We may experience increases in transportation costs or delays in the shipment or delivery of our products.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unable to fully offset any such increases by adjusting the pricing of our products. Any of these factors could adversely affect our business, financial condition, and results of operations.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Revision of Financial Statements</w:t>
      </w:r>
    </w:p>
    <w:p>
      <w:pPr>
        <w:pStyle w:val="TextBody"/>
        <w:bidi w:val="0"/>
        <w:spacing w:lineRule="auto" w:line="288" w:before="120" w:after="283"/>
        <w:jc w:val="left"/>
      </w:pPr>
      <w:r>
        <w:rPr>
          <w:rFonts w:ascii="Times New Roman;serif" w:hAnsi="Times New Roman;serif"/>
          <w:b w:val="false"/>
          <w:color w:val="000000"/>
          <w:sz w:val="20"/>
        </w:rPr>
        <w:t xml:space="preserve">As discussed in </w:t>
      </w:r>
      <w:hyperlink w:anchor="i85d8b002594243e7b51da769cf4c7d6e_37">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Revision of Financial Statements, to the Condensed Consolidated Financial Statements, the Company identified and corrected an error in the classification of its redeemable noncontrolling interests. Management determined the error did not materially misstate previously issued financial statements and would be appropriate to correct.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revised previously issued financial information included in this Form 10-Q. The revisions do not affect the Company’s previously reported operating results, cash flows, or financial condition apart from the reclassification within the equity section of the balance sheet and the required redemption value accretion recognized throughout fiscal 2025.</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Key Performance Indicators and Non-GAAP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monitor the key business metrics and non-GAAP metrics set forth below to help us evaluate our business and growth trends, establish budgets, measure the effectiveness of our sales and marketing efforts, and assess operational efficiencies. The calculation of the key business metrics discussed below may differ from other similarly titled metrics used by other companies, securities analysts, or investors.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this Form 10-Q, we utilize “Global Points of Access” as a key performance indicator. Global Points of Access reflect all locations at which fresh doughnuts can be purchased. We define Global Points of Access to include all Hot Light Theater Shops, Fresh Shops, Carts and Food Trucks, fresh delivery doors, and other points at which fresh doughnuts can be purchased at both Company-owned and franchise locations as of the end of the applicable reporting period. We monitor Global Points of Access as a metric that informs the growth of our omni-channel presence over time and believe this metric is useful to investors to understand our footprint in each of our segments and by asset type.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Global Points of Access, by segment and type, as of the end of the third quarter of fiscal 2026, the third quarter of fiscal 2025, and fiscal 2025, respectively: </w:t>
      </w:r>
    </w:p>
    <w:tbl>
      <w:tblPr>
        <w:tblW w:w="8988" w:type="dxa"/>
        <w:jc w:val="left"/>
        <w:tblInd w:w="0" w:type="dxa"/>
        <w:tblLayout w:type="fixed"/>
        <w:tblCellMar>
          <w:top w:w="28" w:type="dxa"/>
          <w:left w:w="28" w:type="dxa"/>
          <w:bottom w:w="28" w:type="dxa"/>
          <w:right w:w="28" w:type="dxa"/>
        </w:tblCellMar>
      </w:tblPr>
      <w:tblGrid>
        <w:gridCol w:w="1301"/>
        <w:gridCol w:w="1139"/>
        <w:gridCol w:w="1160"/>
        <w:gridCol w:w="514"/>
        <w:gridCol w:w="514"/>
        <w:gridCol w:w="516"/>
        <w:gridCol w:w="133"/>
        <w:gridCol w:w="133"/>
        <w:gridCol w:w="133"/>
        <w:gridCol w:w="514"/>
        <w:gridCol w:w="514"/>
        <w:gridCol w:w="516"/>
        <w:gridCol w:w="119"/>
        <w:gridCol w:w="119"/>
        <w:gridCol w:w="119"/>
        <w:gridCol w:w="452"/>
        <w:gridCol w:w="452"/>
        <w:gridCol w:w="640"/>
      </w:tblGrid>
      <w:tr>
        <w:tc>
          <w:tcPr>
            <w:tcW w:w="13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Points of Access</w:t>
            </w:r>
          </w:p>
        </w:tc>
      </w:tr>
      <w:t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U.S.:</w:t>
            </w:r>
            <w:r>
              <w:rPr>
                <w:rFonts w:ascii="Times New Roman;serif" w:hAnsi="Times New Roman;serif"/>
                <w:b/>
                <w:i/>
                <w:color w:val="000000"/>
                <w:sz w:val="10"/>
              </w:rPr>
              <w:t>(1)</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6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6,462</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7,275</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7,463</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Carts, Food Trucks, and Other</w:t>
            </w:r>
            <w:r>
              <w:rPr>
                <w:rFonts w:ascii="Times New Roman;serif" w:hAnsi="Times New Roman;serif"/>
                <w:b w:val="false"/>
                <w:color w:val="000000"/>
                <w:sz w:val="10"/>
              </w:rPr>
              <w:t>(2)</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4,497</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4,885</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4,822</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Carts, Food Trucks, and Other</w:t>
            </w:r>
            <w:r>
              <w:rPr>
                <w:rFonts w:ascii="Times New Roman;serif" w:hAnsi="Times New Roman;serif"/>
                <w:b w:val="false"/>
                <w:color w:val="000000"/>
                <w:sz w:val="10"/>
              </w:rPr>
              <w:t>(2)</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4,930</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2,691</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2,909</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15,889</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14,851</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15,194</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 Light Theater Shops</w:t>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6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Fresh Shops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Shops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2,198</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2,116</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2,125</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Carts, Food Trucks, and 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w:t>
            </w: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w:t>
            </w: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Fresh Delivery Doors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13,642</w:t>
            </w: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12,687</w:t>
            </w: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13,022</w:t>
            </w: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15,889</w:t>
            </w: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14,851</w:t>
            </w: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15,194</w:t>
            </w:r>
            <w:r>
              <w:rPr>
                <w:color w:val="000000"/>
              </w:rPr>
              <w:t>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During the first quarter of fiscal 2026, certain points of access moved from the U.S. and International segments to the Market Development segment. 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more information on the impact of refranchising.</w:t>
      </w:r>
    </w:p>
    <w:p>
      <w:pPr>
        <w:pStyle w:val="TextBody"/>
        <w:bidi w:val="0"/>
        <w:spacing w:lineRule="auto" w:line="288" w:before="0" w:after="0"/>
        <w:ind w:left="0" w:right="0" w:hanging="540"/>
        <w:jc w:val="both"/>
      </w:pPr>
      <w:r>
        <w:rPr>
          <w:rFonts w:ascii="Times New Roman;serif" w:hAnsi="Times New Roman;serif"/>
          <w:b w:val="false"/>
          <w:color w:val="000000"/>
          <w:sz w:val="13"/>
        </w:rPr>
        <w:t>(2)</w:t>
      </w:r>
      <w:r>
        <w:rPr>
          <w:rFonts w:ascii="Times New Roman;serif" w:hAnsi="Times New Roman;serif"/>
          <w:b w:val="false"/>
          <w:color w:val="000000"/>
          <w:sz w:val="20"/>
        </w:rPr>
        <w:t>Carts and Food Trucks are non-producing, mobile (typically on wheels) facilities without walls or a door where product is received from a Hot Light Theater Shop or Doughnut Factory. Other includes a vending machine. Points of Access in this category are primarily found in international locations in airports and train stations.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27, 2026, we had 15,889 Global Points of Access, with 2,198 Krispy Kreme branded shops, 49 Carts and Food Trucks, and 13,642 fresh delivery doors. During the third quarter of fiscal 2026, we added a net 32 additional Krispy Kreme branded Doughnut Shops globally, in countries such as Spain, Brazil, and India, among others. The increase to the total Global Points of Access compared to the end of the third quarter of fiscal 2025 primarily relates to fresh delivery door expansion across both existing and new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utilize “Hubs” as a key performance indicator. We have an omni-channel strategy to reach more consumers where they are and drive sustainable, profitable growth, and this strategy is supported by a capital-efficient Hub and Spoke distribution model that provides a route to market and powers profitability. Our Hot Light Theater Shops and Doughnut Factories serve as centralized production facilities (“Hubs”). From these Hubs, we deliver doughnuts to our Fresh Shops, Carts and Food Trucks, and fresh delivery doors (“Spokes”) primarily through an integrated network of delivery routes, designed to ensure quality and freshness. In the U.S. segment, the decrease to the total number of Hubs as of the end of the third quarter of fiscal 2026 compared to the end of the third quarter of fiscal 2025 primarily relates to the impact of refranchising and the optimization of our production network in the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Hubs, by segment and type, as of the end of the third quarter of fiscal 2026, the third quarter of fiscal 2025, and fiscal 2025, respectively:</w:t>
      </w:r>
    </w:p>
    <w:tbl>
      <w:tblPr>
        <w:tblW w:w="7593" w:type="dxa"/>
        <w:jc w:val="left"/>
        <w:tblInd w:w="0" w:type="dxa"/>
        <w:tblLayout w:type="fixed"/>
        <w:tblCellMar>
          <w:top w:w="28" w:type="dxa"/>
          <w:left w:w="28" w:type="dxa"/>
          <w:bottom w:w="28" w:type="dxa"/>
          <w:right w:w="28" w:type="dxa"/>
        </w:tblCellMar>
      </w:tblPr>
      <w:tblGrid>
        <w:gridCol w:w="808"/>
        <w:gridCol w:w="707"/>
        <w:gridCol w:w="720"/>
        <w:gridCol w:w="514"/>
        <w:gridCol w:w="514"/>
        <w:gridCol w:w="516"/>
        <w:gridCol w:w="133"/>
        <w:gridCol w:w="133"/>
        <w:gridCol w:w="133"/>
        <w:gridCol w:w="514"/>
        <w:gridCol w:w="514"/>
        <w:gridCol w:w="516"/>
        <w:gridCol w:w="109"/>
        <w:gridCol w:w="109"/>
        <w:gridCol w:w="109"/>
        <w:gridCol w:w="452"/>
        <w:gridCol w:w="452"/>
        <w:gridCol w:w="640"/>
      </w:tblGrid>
      <w:tr>
        <w:tc>
          <w:tcPr>
            <w:tcW w:w="8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Hubs</w:t>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U.S.:</w:t>
            </w:r>
            <w:r>
              <w:rPr>
                <w:rFonts w:ascii="Times New Roman;serif" w:hAnsi="Times New Roman;serif"/>
                <w:b/>
                <w:i/>
                <w:color w:val="000000"/>
                <w:sz w:val="10"/>
              </w:rPr>
              <w:t>(1)</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151</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229</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229</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without Spokes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52</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w:t>
            </w: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Doughnut Factories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200</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135</w:t>
            </w: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137</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Total Hubs</w:t>
            </w:r>
            <w:r>
              <w:rPr>
                <w:rFonts w:ascii="Times New Roman;serif" w:hAnsi="Times New Roman;serif"/>
                <w:b/>
                <w:color w:val="000000"/>
                <w:sz w:val="10"/>
              </w:rPr>
              <w:t>(3)</w:t>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403</w:t>
            </w: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421</w:t>
            </w:r>
            <w:r>
              <w:rPr>
                <w:color w:val="000000"/>
              </w:rPr>
              <w:t>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423</w:t>
            </w:r>
            <w:r>
              <w:rPr>
                <w:color w:val="000000"/>
              </w:rPr>
              <w:t>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During the first quarter of fiscal 2026, certain Hubs moved from the U.S. and International segments to the Market Development segment. 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more information on the impact of refranchising.</w:t>
      </w:r>
    </w:p>
    <w:p>
      <w:pPr>
        <w:pStyle w:val="TextBody"/>
        <w:bidi w:val="0"/>
        <w:spacing w:lineRule="auto" w:line="288" w:before="0" w:after="0"/>
        <w:ind w:left="0" w:right="0" w:hanging="540"/>
        <w:jc w:val="both"/>
      </w:pPr>
      <w:r>
        <w:rPr>
          <w:rFonts w:ascii="Times New Roman;serif" w:hAnsi="Times New Roman;serif"/>
          <w:b w:val="false"/>
          <w:color w:val="000000"/>
          <w:sz w:val="13"/>
        </w:rPr>
        <w:t>(2)</w:t>
      </w:r>
      <w:r>
        <w:rPr>
          <w:rFonts w:ascii="Times New Roman;serif" w:hAnsi="Times New Roman;serif"/>
          <w:b w:val="false"/>
          <w:color w:val="000000"/>
          <w:sz w:val="20"/>
        </w:rPr>
        <w:t>Includes only Hot Light Theater Shops and excludes Mini Theaters. A Mini Theater is a Spoke location that produces some doughnuts for itself and also receives doughnuts from another producing location.</w:t>
      </w:r>
    </w:p>
    <w:p>
      <w:pPr>
        <w:pStyle w:val="TextBody"/>
        <w:bidi w:val="0"/>
        <w:spacing w:lineRule="auto" w:line="288" w:before="0" w:after="0"/>
        <w:ind w:left="0" w:right="0" w:hanging="540"/>
        <w:jc w:val="both"/>
      </w:pPr>
      <w:r>
        <w:rPr>
          <w:rFonts w:ascii="Times New Roman;serif" w:hAnsi="Times New Roman;serif"/>
          <w:b w:val="false"/>
          <w:color w:val="000000"/>
          <w:sz w:val="13"/>
        </w:rPr>
        <w:t>(3)</w:t>
      </w:r>
      <w:r>
        <w:rPr>
          <w:rFonts w:ascii="Times New Roman;serif" w:hAnsi="Times New Roman;serif"/>
          <w:b w:val="false"/>
          <w:color w:val="000000"/>
          <w:sz w:val="20"/>
        </w:rPr>
        <w:t>The decrease in total Hubs is driven by Hub optimization in the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Non-GAAP and Operating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evaluates our results of operations using, among other measures, organic revenue growth/(decline), Sales per Hub, Systemwide Sales, adjusted earnings before interest, taxes, depreciation and amortization (“Adjusted EBITDA”), Adjusted Net Income/(Loss), Diluted, and Adjusted EPS as we believe these non-GAAP and operating measures are useful in evaluating our operating performance. Management believes these measures are important indicators of operations because they exclude items that may not be indicative of our core operating results and provide a better baseline for analyzing trends in our underlying business, and they are consistent with how business performance is planned, reported and assessed internally by management and the Company’s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standardized and it may not be possible to compare these financial measures with other companies’ non-GAAP financial measures having the same or similar names, limiting their usefulness as comparative measures. Other companies may calculate similarly titled financial measures differently than we do or may not calculate them at all. Additionally, these non-GAAP financial measures are not measurements of financial performance under GAAP or a substitute for results reported under GAAP. In order to facilitate a clear understanding of our consolidated historical operating results, we urge you to review our non-GAAP financial measures in conjunction with the Company’s financial statements and not to rely on any single financial measure.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Organic Revenue Growth/(Decline)</w:t>
      </w:r>
    </w:p>
    <w:p>
      <w:pPr>
        <w:pStyle w:val="TextBody"/>
        <w:bidi w:val="0"/>
        <w:spacing w:lineRule="auto" w:line="288" w:before="120" w:after="283"/>
        <w:jc w:val="both"/>
      </w:pPr>
      <w:r>
        <w:rPr>
          <w:rFonts w:ascii="Times New Roman;serif" w:hAnsi="Times New Roman;serif"/>
          <w:b w:val="false"/>
          <w:color w:val="000000"/>
          <w:sz w:val="20"/>
        </w:rPr>
        <w:t>Organic revenue growth/(decline) measures our revenue growth trends excluding the impact of acquisitions, divestitures, and foreign currency, and we believe it is useful for investors to understand the expansion of our global footprint through internal efforts. We define “organic revenue growth/(decline)” as the growth/(decline) in revenues, excluding (i) the impact of revenues of acquired shops owned by us for less than 12 months following their acquisition, (ii) the impact of foreign currency exchange rate changes, (iii) the impact of shop closures related to restructuring programs, (iv) the impact of the divestiture of shops through refranchising, and (v) the impact of revenues generated during the 53</w:t>
      </w:r>
      <w:r>
        <w:rPr>
          <w:rFonts w:ascii="Times New Roman;serif" w:hAnsi="Times New Roman;serif"/>
          <w:b w:val="false"/>
          <w:color w:val="000000"/>
          <w:sz w:val="13"/>
        </w:rPr>
        <w:t xml:space="preserve">rd </w:t>
      </w:r>
      <w:r>
        <w:rPr>
          <w:rFonts w:ascii="Times New Roman;serif" w:hAnsi="Times New Roman;serif"/>
          <w:b w:val="false"/>
          <w:color w:val="000000"/>
          <w:sz w:val="20"/>
        </w:rPr>
        <w:t>week for those fiscal years that have a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 xml:space="preserve">week based on our fiscal calendar defined in </w:t>
      </w:r>
      <w:hyperlink w:anchor="i85d8b002594243e7b51da769cf4c7d6e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Description of Business and Summary of Significant Accounting Policies, to the Condensed Consolidated Financial Statements. See “Results of Operations” for our organic growth/(decline) calculations for the periods presented.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Adjusted EBITDA, Adjusted Net Income/(Loss), Diluted, and Adjusted EPS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net, income tax expense, and depreciation and amortization, with further adjustments for share-based compensation, certain strategic initiatives, acquisition and integration expenses, and certain other non-recurring, infrequent, or non-core income and expense items. Adjusted EBITDA, both on a consolidated basis and at the segment level, is a principal metric that management uses to monitor and evaluate operating performance and provides a consistent benchmark for comparison across reporting periods. “Adjusted EBITDA margin” reflects Adjusted EBITDA as a percentage of net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Income/(loss), diluted” as net loss attributable to common shareholders, adjusted for share-based compensation, certain strategic initiatives, acquisition and integration expenses, amortization of acquisition-related intangibles, the tax impact of adjustments, and certain other non-recurring, infrequent, or non-core income and expense items. “Adjusted EPS” is Adjusted net income/(loss), diluted converted to a per share amount.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Adjusted net income/(loss), diluted, and Adjusted EPS have certain limitations, including adjustments for income and expense items that are required by GAAP. In evaluating these non-GAAP measures, you should be aware that in the future we will incur expenses that are the same as or similar to some of the adjustments in this presentation, such as share-based compensation. Our presentation of these non-GAAP measures should not be construed to imply that our future results will be unaffected by any such adjustments. Management compensates for these limitations by relying on our GAAP results in addition to using these non-GAAP measures supplementally.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Net loss to Adjusted EBITDA, and Net loss to Adjusted net income/(loss), diluted and Adjusted EPS for the periods presented:</w:t>
      </w:r>
    </w:p>
    <w:tbl>
      <w:tblPr>
        <w:tblW w:w="10205" w:type="dxa"/>
        <w:jc w:val="left"/>
        <w:tblInd w:w="0" w:type="dxa"/>
        <w:tblLayout w:type="fixed"/>
        <w:tblCellMar>
          <w:top w:w="28" w:type="dxa"/>
          <w:left w:w="28" w:type="dxa"/>
          <w:bottom w:w="28" w:type="dxa"/>
          <w:right w:w="28" w:type="dxa"/>
        </w:tblCellMar>
      </w:tblPr>
      <w:tblGrid>
        <w:gridCol w:w="1400"/>
        <w:gridCol w:w="1147"/>
        <w:gridCol w:w="1117"/>
        <w:gridCol w:w="262"/>
        <w:gridCol w:w="970"/>
        <w:gridCol w:w="135"/>
        <w:gridCol w:w="109"/>
        <w:gridCol w:w="109"/>
        <w:gridCol w:w="109"/>
        <w:gridCol w:w="262"/>
        <w:gridCol w:w="970"/>
        <w:gridCol w:w="135"/>
        <w:gridCol w:w="109"/>
        <w:gridCol w:w="109"/>
        <w:gridCol w:w="109"/>
        <w:gridCol w:w="262"/>
        <w:gridCol w:w="970"/>
        <w:gridCol w:w="135"/>
        <w:gridCol w:w="109"/>
        <w:gridCol w:w="109"/>
        <w:gridCol w:w="109"/>
        <w:gridCol w:w="245"/>
        <w:gridCol w:w="1027"/>
        <w:gridCol w:w="187"/>
      </w:tblGrid>
      <w:tr>
        <w:tc>
          <w:tcPr>
            <w:tcW w:w="140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Quarters Ended </w:t>
            </w:r>
          </w:p>
        </w:tc>
      </w:tr>
      <w:t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(13,315)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(20,131)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(55,819)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(494,654)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Other non-operating expense/(income), net</w:t>
            </w:r>
            <w:r>
              <w:rPr>
                <w:rFonts w:ascii="Times New Roman;serif" w:hAnsi="Times New Roman;serif"/>
                <w:b w:val="false"/>
                <w:color w:val="000000"/>
                <w:sz w:val="10"/>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Strategic initiatives</w:t>
            </w:r>
            <w:r>
              <w:rPr>
                <w:rFonts w:ascii="Times New Roman;serif" w:hAnsi="Times New Roman;serif"/>
                <w:b w:val="false"/>
                <w:color w:val="000000"/>
                <w:sz w:val="10"/>
              </w:rPr>
              <w:t>(2)</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Acquisition and integration expenses</w:t>
            </w:r>
            <w:r>
              <w:rPr>
                <w:rFonts w:ascii="Times New Roman;serif" w:hAnsi="Times New Roman;serif"/>
                <w:b w:val="false"/>
                <w:color w:val="000000"/>
                <w:sz w:val="10"/>
              </w:rPr>
              <w:t>(3)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New market penetration expenses</w:t>
            </w:r>
            <w:r>
              <w:rPr>
                <w:rFonts w:ascii="Times New Roman;serif" w:hAnsi="Times New Roman;serif"/>
                <w:b w:val="false"/>
                <w:color w:val="000000"/>
                <w:sz w:val="10"/>
              </w:rPr>
              <w:t>(4)</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Shop closure expenses, net</w:t>
            </w:r>
            <w:r>
              <w:rPr>
                <w:rFonts w:ascii="Times New Roman;serif" w:hAnsi="Times New Roman;serif"/>
                <w:b w:val="false"/>
                <w:color w:val="000000"/>
                <w:sz w:val="10"/>
              </w:rPr>
              <w:t>(5)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 and severance expenses</w:t>
            </w:r>
            <w:r>
              <w:rPr>
                <w:rFonts w:ascii="Times New Roman;serif" w:hAnsi="Times New Roman;serif"/>
                <w:b w:val="false"/>
                <w:color w:val="000000"/>
                <w:sz w:val="10"/>
              </w:rPr>
              <w:t>(6)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Gain on refranchising</w:t>
            </w:r>
            <w:r>
              <w:rPr>
                <w:rFonts w:ascii="Times New Roman;serif" w:hAnsi="Times New Roman;serif"/>
                <w:b w:val="false"/>
                <w:color w:val="000000"/>
                <w:sz w:val="10"/>
              </w:rPr>
              <w:t>(7)</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Other</w:t>
            </w:r>
            <w:r>
              <w:rPr>
                <w:rFonts w:ascii="Times New Roman;serif" w:hAnsi="Times New Roman;serif"/>
                <w:b w:val="false"/>
                <w:color w:val="000000"/>
                <w:sz w:val="10"/>
              </w:rPr>
              <w:t>(8)</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Amortization of acquisition related intangibles</w:t>
            </w:r>
            <w:r>
              <w:rPr>
                <w:rFonts w:ascii="Times New Roman;serif" w:hAnsi="Times New Roman;serif"/>
                <w:b w:val="false"/>
                <w:color w:val="000000"/>
                <w:sz w:val="10"/>
              </w:rPr>
              <w:t>(9)</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amortization of right of 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84,688</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64"/>
        <w:gridCol w:w="1213"/>
        <w:gridCol w:w="1222"/>
        <w:gridCol w:w="243"/>
        <w:gridCol w:w="884"/>
        <w:gridCol w:w="125"/>
        <w:gridCol w:w="109"/>
        <w:gridCol w:w="109"/>
        <w:gridCol w:w="109"/>
        <w:gridCol w:w="243"/>
        <w:gridCol w:w="884"/>
        <w:gridCol w:w="125"/>
        <w:gridCol w:w="109"/>
        <w:gridCol w:w="109"/>
        <w:gridCol w:w="109"/>
        <w:gridCol w:w="243"/>
        <w:gridCol w:w="884"/>
        <w:gridCol w:w="125"/>
        <w:gridCol w:w="109"/>
        <w:gridCol w:w="109"/>
        <w:gridCol w:w="109"/>
        <w:gridCol w:w="232"/>
        <w:gridCol w:w="959"/>
        <w:gridCol w:w="178"/>
      </w:tblGrid>
      <w:tr>
        <w:tc>
          <w:tcPr>
            <w:tcW w:w="166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Quarters Ended </w:t>
            </w:r>
          </w:p>
        </w:tc>
      </w:tr>
      <w:tr>
        <w:tc>
          <w:tcPr>
            <w:tcW w:w="4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(13,315)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(20,131)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(55,819)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(494,654)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Other non-operating expense/(income), net</w:t>
            </w:r>
            <w:r>
              <w:rPr>
                <w:color w:val="000000"/>
              </w:rPr>
              <w:t xml:space="preserve"> </w:t>
            </w:r>
            <w:r>
              <w:rPr>
                <w:rFonts w:ascii="Times New Roman;serif" w:hAnsi="Times New Roman;serif"/>
                <w:b w:val="false"/>
                <w:color w:val="000000"/>
                <w:sz w:val="10"/>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Strategic initiatives</w:t>
            </w:r>
            <w:r>
              <w:rPr>
                <w:color w:val="000000"/>
              </w:rPr>
              <w:t xml:space="preserve"> </w:t>
            </w:r>
            <w:r>
              <w:rPr>
                <w:rFonts w:ascii="Times New Roman;serif" w:hAnsi="Times New Roman;serif"/>
                <w:b w:val="false"/>
                <w:color w:val="000000"/>
                <w:sz w:val="10"/>
              </w:rPr>
              <w:t>(2)</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Acquisition and integration expenses</w:t>
            </w:r>
            <w:r>
              <w:rPr>
                <w:color w:val="000000"/>
              </w:rPr>
              <w:t xml:space="preserve"> </w:t>
            </w:r>
            <w:r>
              <w:rPr>
                <w:rFonts w:ascii="Times New Roman;serif" w:hAnsi="Times New Roman;serif"/>
                <w:b w:val="false"/>
                <w:color w:val="000000"/>
                <w:sz w:val="10"/>
              </w:rPr>
              <w:t>(3)</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pPr>
            <w:r>
              <w:rPr>
                <w:rFonts w:ascii="Times New Roman;serif" w:hAnsi="Times New Roman;serif"/>
                <w:b w:val="false"/>
                <w:color w:val="000000"/>
                <w:sz w:val="20"/>
              </w:rPr>
              <w:t>New market penetration expenses</w:t>
            </w:r>
            <w:r>
              <w:rPr>
                <w:color w:val="000000"/>
              </w:rPr>
              <w:t xml:space="preserve"> </w:t>
            </w:r>
            <w:r>
              <w:rPr>
                <w:rFonts w:ascii="Times New Roman;serif" w:hAnsi="Times New Roman;serif"/>
                <w:b w:val="false"/>
                <w:color w:val="000000"/>
                <w:sz w:val="10"/>
              </w:rPr>
              <w:t>(4)</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Shop closure expenses, net </w:t>
            </w:r>
            <w:r>
              <w:rPr>
                <w:rFonts w:ascii="Times New Roman;serif" w:hAnsi="Times New Roman;serif"/>
                <w:b w:val="false"/>
                <w:color w:val="000000"/>
                <w:sz w:val="10"/>
              </w:rPr>
              <w:t>(5)</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 and severance expenses</w:t>
            </w:r>
            <w:r>
              <w:rPr>
                <w:color w:val="000000"/>
              </w:rPr>
              <w:t xml:space="preserve"> </w:t>
            </w:r>
            <w:r>
              <w:rPr>
                <w:rFonts w:ascii="Times New Roman;serif" w:hAnsi="Times New Roman;serif"/>
                <w:b w:val="false"/>
                <w:color w:val="000000"/>
                <w:sz w:val="10"/>
              </w:rPr>
              <w:t>(6)</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c>
          <w:tcPr>
            <w:tcW w:w="409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ind w:left="0" w:right="0" w:hanging="240"/>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Gain on refranchising </w:t>
            </w:r>
            <w:r>
              <w:rPr>
                <w:rFonts w:ascii="Times New Roman;serif" w:hAnsi="Times New Roman;serif"/>
                <w:b w:val="false"/>
                <w:color w:val="000000"/>
                <w:sz w:val="10"/>
              </w:rPr>
              <w:t>(7)</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0"/>
              </w:rPr>
              <w:t>(8)</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Amortization of acquisition related intangibles </w:t>
            </w:r>
            <w:r>
              <w:rPr>
                <w:rFonts w:ascii="Times New Roman;serif" w:hAnsi="Times New Roman;serif"/>
                <w:b w:val="false"/>
                <w:color w:val="000000"/>
                <w:sz w:val="10"/>
              </w:rPr>
              <w:t>(9)</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Tax impact of adjustments </w:t>
            </w:r>
            <w:r>
              <w:rPr>
                <w:rFonts w:ascii="Times New Roman;serif" w:hAnsi="Times New Roman;serif"/>
                <w:b w:val="false"/>
                <w:color w:val="000000"/>
                <w:sz w:val="10"/>
              </w:rPr>
              <w:t>(10)</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Tax specific adjustments </w:t>
            </w:r>
            <w:r>
              <w:rPr>
                <w:rFonts w:ascii="Times New Roman;serif" w:hAnsi="Times New Roman;serif"/>
                <w:b w:val="false"/>
                <w:color w:val="000000"/>
                <w:sz w:val="10"/>
              </w:rPr>
              <w:t>(11)</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ind w:left="0" w:right="0" w:hanging="240"/>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income/(loss) attributable to common shareholders - Basic</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9,902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1,434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(32,711)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income attributed to noncontrolling interest due to subsidiary potential common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income/(loss) attributable to common shareholders - Diluted</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9,902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1,428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(32,714)</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173,478 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171,164 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172,692 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170,752 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common stock options, RSUs, and PSUs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common shares outstanding</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176,241</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172,566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172,692</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170,752</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income/(loss) per share attributable to common shareholders: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r>
      <w:t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Primarily foreign translation gains and losses in each period. The three quarters ended September 28, 2025 also include equity method income from Insomnia Cookies following the divestiture of a controlling interest in Insomnia Cookies during fiscal 2024 until the sale of our remaining interest in the second quarter of fiscal 2025.</w:t>
      </w:r>
    </w:p>
    <w:p>
      <w:pPr>
        <w:pStyle w:val="TextBody"/>
        <w:bidi w:val="0"/>
        <w:spacing w:lineRule="auto" w:line="288" w:before="0" w:after="0"/>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The quarter and three quarters ended September 27, 2026 consist primarily of $1.3 million and $7.6 million, respectively, of costs associated with the evaluation and execution of refranchising certain equity markets as well as $1.6 million and $5.8 million, respectively, in costs associated with the transition to third-party logistics in the U.S.; of that amount $1.1 million and $4.4 million, respectively, is related to non-cash impairments. The quarter and three quarters ended September 28, 2025 consist primarily of $9.9 million and $33.2 million, respectively, of costs associated with preparing for and executing the U.S. national expansion.</w:t>
      </w:r>
    </w:p>
    <w:p>
      <w:pPr>
        <w:pStyle w:val="TextBody"/>
        <w:bidi w:val="0"/>
        <w:spacing w:lineRule="auto" w:line="288" w:before="0" w:after="0"/>
        <w:ind w:left="0" w:right="0" w:hanging="360"/>
        <w:jc w:val="both"/>
      </w:pPr>
      <w:r>
        <w:rPr>
          <w:rFonts w:ascii="Times New Roman;serif" w:hAnsi="Times New Roman;serif"/>
          <w:b w:val="false"/>
          <w:color w:val="000000"/>
          <w:sz w:val="13"/>
        </w:rPr>
        <w:t>(3)</w:t>
      </w:r>
      <w:r>
        <w:rPr>
          <w:rFonts w:ascii="Times New Roman;serif" w:hAnsi="Times New Roman;serif"/>
          <w:b w:val="false"/>
          <w:color w:val="000000"/>
          <w:sz w:val="20"/>
        </w:rPr>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pStyle w:val="TextBody"/>
        <w:bidi w:val="0"/>
        <w:spacing w:lineRule="auto" w:line="288" w:before="0" w:after="0"/>
        <w:ind w:left="0" w:right="0" w:hanging="360"/>
        <w:jc w:val="both"/>
      </w:pPr>
      <w:r>
        <w:rPr>
          <w:rFonts w:ascii="Times New Roman;serif" w:hAnsi="Times New Roman;serif"/>
          <w:b w:val="false"/>
          <w:color w:val="000000"/>
          <w:sz w:val="13"/>
        </w:rPr>
        <w:t>(4)</w:t>
      </w:r>
      <w:r>
        <w:rPr>
          <w:rFonts w:ascii="Times New Roman;serif" w:hAnsi="Times New Roman;serif"/>
          <w:b w:val="false"/>
          <w:color w:val="000000"/>
          <w:sz w:val="20"/>
        </w:rPr>
        <w:t>Consists of start-up costs associated with entry into new countries in which the Company’s brands had not previously operated, including Brazil and Spain.</w:t>
      </w:r>
    </w:p>
    <w:p>
      <w:pPr>
        <w:pStyle w:val="TextBody"/>
        <w:bidi w:val="0"/>
        <w:spacing w:lineRule="auto" w:line="288" w:before="0" w:after="0"/>
        <w:ind w:left="0" w:right="0" w:hanging="360"/>
        <w:jc w:val="both"/>
      </w:pPr>
      <w:r>
        <w:rPr>
          <w:rFonts w:ascii="Times New Roman;serif" w:hAnsi="Times New Roman;serif"/>
          <w:b w:val="false"/>
          <w:color w:val="000000"/>
          <w:sz w:val="13"/>
        </w:rPr>
        <w:t>(5)</w:t>
      </w:r>
      <w:r>
        <w:rPr>
          <w:rFonts w:ascii="Times New Roman;serif" w:hAnsi="Times New Roman;serif"/>
          <w:b w:val="false"/>
          <w:color w:val="000000"/>
          <w:sz w:val="20"/>
        </w:rPr>
        <w:t xml:space="preserve">Includes lease termination costs, impairment charges, and loss on disposal of property, plant and equipment. </w:t>
      </w:r>
    </w:p>
    <w:p>
      <w:pPr>
        <w:pStyle w:val="TextBody"/>
        <w:bidi w:val="0"/>
        <w:spacing w:lineRule="auto" w:line="288" w:before="0" w:after="0"/>
        <w:ind w:left="0" w:right="0" w:hanging="360"/>
        <w:jc w:val="both"/>
      </w:pPr>
      <w:r>
        <w:rPr>
          <w:rFonts w:ascii="Times New Roman;serif" w:hAnsi="Times New Roman;serif"/>
          <w:b w:val="false"/>
          <w:color w:val="000000"/>
          <w:sz w:val="13"/>
        </w:rPr>
        <w:t>(6)</w:t>
      </w:r>
      <w:r>
        <w:rPr>
          <w:rFonts w:ascii="Times New Roman;serif" w:hAnsi="Times New Roman;serif"/>
          <w:b w:val="false"/>
          <w:color w:val="000000"/>
          <w:sz w:val="20"/>
        </w:rPr>
        <w:t>The quarter and three quarters ended September 27, 2026 consist primarily of costs associated with restructuring the Australia and New Zealand business. The quarter and three quarters ended September 28, 2025 consist primarily of costs associated with restructuring of the U.S. and U.K. businesses.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pPr>
      <w:r>
        <w:rPr>
          <w:rFonts w:ascii="Times New Roman;serif" w:hAnsi="Times New Roman;serif"/>
          <w:b w:val="false"/>
          <w:color w:val="000000"/>
          <w:sz w:val="13"/>
        </w:rPr>
        <w:t>(7)</w:t>
      </w:r>
      <w:r>
        <w:rPr>
          <w:rFonts w:ascii="Times New Roman;serif" w:hAnsi="Times New Roman;serif"/>
          <w:b w:val="false"/>
          <w:color w:val="000000"/>
          <w:sz w:val="20"/>
        </w:rPr>
        <w:t>Includes gains and losses on the deconsolidation of assets and liabilities associated with the refranchising of Krispy Kreme shops.</w:t>
      </w:r>
    </w:p>
    <w:p>
      <w:pPr>
        <w:pStyle w:val="TextBody"/>
        <w:bidi w:val="0"/>
        <w:spacing w:lineRule="auto" w:line="288" w:before="0" w:after="0"/>
        <w:ind w:left="0" w:right="0" w:hanging="360"/>
        <w:jc w:val="both"/>
      </w:pPr>
      <w:r>
        <w:rPr>
          <w:rFonts w:ascii="Times New Roman;serif" w:hAnsi="Times New Roman;serif"/>
          <w:b w:val="false"/>
          <w:color w:val="000000"/>
          <w:sz w:val="13"/>
        </w:rPr>
        <w:t>(8)</w:t>
      </w:r>
      <w:r>
        <w:rPr>
          <w:rFonts w:ascii="Times New Roman;serif" w:hAnsi="Times New Roman;serif"/>
          <w:b w:val="false"/>
          <w:color w:val="000000"/>
          <w:sz w:val="20"/>
        </w:rPr>
        <w:t xml:space="preserve">The quarter and three quarters ended September 27, 2026 consist primarily of $1.6 million and $3.2 million, respectively, of legal fees primarily related to litigation matters, as well as $1.1 million of costs for the quarter and three quarters ended September 27, 2026, associated with the execution of the turnaround plan. Refer to </w:t>
      </w:r>
      <w:hyperlink w:anchor="i85d8b002594243e7b51da769cf4c7d6e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for more information. The quarter and three quarters ended September 28, 2025 consists primarily of $1.5 million and $6.8 million, respectively, in costs related to remediation of the 2024 Cybersecurity Incident, including fees for cybersecurity experts and other advisors.</w:t>
      </w:r>
    </w:p>
    <w:p>
      <w:pPr>
        <w:pStyle w:val="TextBody"/>
        <w:bidi w:val="0"/>
        <w:spacing w:lineRule="auto" w:line="288" w:before="0" w:after="0"/>
        <w:ind w:left="0" w:right="0" w:hanging="360"/>
        <w:jc w:val="both"/>
      </w:pPr>
      <w:r>
        <w:rPr>
          <w:rFonts w:ascii="Times New Roman;serif" w:hAnsi="Times New Roman;serif"/>
          <w:b w:val="false"/>
          <w:color w:val="000000"/>
          <w:sz w:val="13"/>
        </w:rPr>
        <w:t>(9)</w:t>
      </w:r>
      <w:r>
        <w:rPr>
          <w:rFonts w:ascii="Times New Roman;serif" w:hAnsi="Times New Roman;serif"/>
          <w:b w:val="false"/>
          <w:color w:val="000000"/>
          <w:sz w:val="20"/>
        </w:rPr>
        <w:t>Consists of amortization related to acquired intangible assets as reflected within depreciation and amortization in the Condensed Consolidated Statements of Operations.</w:t>
      </w:r>
    </w:p>
    <w:p>
      <w:pPr>
        <w:pStyle w:val="TextBody"/>
        <w:bidi w:val="0"/>
        <w:spacing w:lineRule="auto" w:line="288" w:before="0" w:after="0"/>
        <w:ind w:left="0" w:right="0" w:hanging="360"/>
        <w:jc w:val="both"/>
      </w:pPr>
      <w:r>
        <w:rPr>
          <w:rFonts w:ascii="Times New Roman;serif" w:hAnsi="Times New Roman;serif"/>
          <w:b w:val="false"/>
          <w:color w:val="000000"/>
          <w:sz w:val="13"/>
        </w:rPr>
        <w:t>(10)</w:t>
      </w:r>
      <w:r>
        <w:rPr>
          <w:rFonts w:ascii="Times New Roman;serif" w:hAnsi="Times New Roman;serif"/>
          <w:b w:val="false"/>
          <w:color w:val="000000"/>
          <w:sz w:val="20"/>
        </w:rPr>
        <w:t>Tax impact of adjustments calculated applying the applicable statutory rates. The quarter and three quarters ended September 27, 2026 and September 28, 2025 also include the impact of disallowed executive compensation expense.</w:t>
      </w:r>
    </w:p>
    <w:p>
      <w:pPr>
        <w:pStyle w:val="TextBody"/>
        <w:bidi w:val="0"/>
        <w:spacing w:lineRule="auto" w:line="288" w:before="0" w:after="0"/>
        <w:ind w:left="0" w:right="0" w:hanging="360"/>
        <w:jc w:val="both"/>
      </w:pPr>
      <w:r>
        <w:rPr>
          <w:rFonts w:ascii="Times New Roman;serif" w:hAnsi="Times New Roman;serif"/>
          <w:b w:val="false"/>
          <w:color w:val="000000"/>
          <w:sz w:val="13"/>
        </w:rPr>
        <w:t>(11)</w:t>
      </w:r>
      <w:r>
        <w:rPr>
          <w:rFonts w:ascii="Times New Roman;serif" w:hAnsi="Times New Roman;serif"/>
          <w:b w:val="false"/>
          <w:color w:val="000000"/>
          <w:sz w:val="20"/>
        </w:rPr>
        <w:t>Consists primarily of the settlement of previously unrecognized tax benefits, unrelated to ongoing operations of $9.2 million and $10.0 million for the quarter and three quarters ended September 27, 2026,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Sales Per Hub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measure the effectiveness of our Hub and Spoke model, we use “Sales per Hub” on a trailing four-quarter basis, which includes all revenue generated from a Hub and its associated Spokes. Sales per Hub equals Fresh Revenues from Hubs with Spokes, divided by the average number of Hubs with Spokes for the period. Fresh Revenues include product sales generated from our Doughnut Shop business (including digital channels), as well as fresh delivery sales, but exclude all Insomnia Cookies revenues as the measure is focused on the Krispy Kreme business. The average number of Hubs with Spokes for a period is calculated as the average of the number of Hubs with Spokes at the end of the five most recent quarters. The Sales per Hub performance measure allows us and investors to measure our effectiveness at leveraging the Hubs in the Hub and Spoke model to distribute product and generate cost efficiencies and profitability.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per Hub was as follows for each of the periods below:</w:t>
      </w:r>
    </w:p>
    <w:tbl>
      <w:tblPr>
        <w:tblW w:w="10205" w:type="dxa"/>
        <w:jc w:val="left"/>
        <w:tblInd w:w="0" w:type="dxa"/>
        <w:tblLayout w:type="fixed"/>
        <w:tblCellMar>
          <w:top w:w="28" w:type="dxa"/>
          <w:left w:w="28" w:type="dxa"/>
          <w:bottom w:w="28" w:type="dxa"/>
          <w:right w:w="28" w:type="dxa"/>
        </w:tblCellMar>
      </w:tblPr>
      <w:tblGrid>
        <w:gridCol w:w="1817"/>
        <w:gridCol w:w="1550"/>
        <w:gridCol w:w="1562"/>
        <w:gridCol w:w="385"/>
        <w:gridCol w:w="1535"/>
        <w:gridCol w:w="198"/>
        <w:gridCol w:w="109"/>
        <w:gridCol w:w="109"/>
        <w:gridCol w:w="109"/>
        <w:gridCol w:w="211"/>
        <w:gridCol w:w="841"/>
        <w:gridCol w:w="109"/>
        <w:gridCol w:w="109"/>
        <w:gridCol w:w="109"/>
        <w:gridCol w:w="109"/>
        <w:gridCol w:w="211"/>
        <w:gridCol w:w="976"/>
        <w:gridCol w:w="156"/>
      </w:tblGrid>
      <w:tr>
        <w:tc>
          <w:tcPr>
            <w:tcW w:w="181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Trailing Four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c>
          <w:tcPr>
            <w:tcW w:w="4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unless otherwise stated)</w:t>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w:t>
              <w:br/>
              <w:t>2024</w:t>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w:t>
            </w:r>
          </w:p>
        </w:tc>
        <w:tc>
          <w:tcPr>
            <w:tcW w:w="2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785,326 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Non-Fresh Revenues </w:t>
            </w:r>
            <w:r>
              <w:rPr>
                <w:rFonts w:ascii="Times New Roman;serif" w:hAnsi="Times New Roman;serif"/>
                <w:b w:val="false"/>
                <w:color w:val="000000"/>
                <w:sz w:val="10"/>
              </w:rPr>
              <w:t>(1)</w:t>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Fresh Revenues from Insomnia Cookies and Hubs without Spokes </w:t>
            </w:r>
            <w:r>
              <w:rPr>
                <w:rFonts w:ascii="Times New Roman;serif" w:hAnsi="Times New Roman;serif"/>
                <w:b w:val="false"/>
                <w:color w:val="000000"/>
                <w:sz w:val="10"/>
              </w:rPr>
              <w:t>(2)</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Fresh Revenues from Hubs with Spokes </w:t>
            </w:r>
          </w:p>
        </w:tc>
        <w:tc>
          <w:tcPr>
            <w:tcW w:w="1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653,535</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756,445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747,910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Sales per Hub (millions) </w:t>
            </w:r>
            <w:r>
              <w:rPr>
                <w:rFonts w:ascii="Times New Roman;serif" w:hAnsi="Times New Roman;serif"/>
                <w:b/>
                <w:color w:val="000000"/>
                <w:sz w:val="10"/>
              </w:rPr>
              <w:t>(3)</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International:</w:t>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color w:val="000000"/>
                <w:sz w:val="20"/>
              </w:rPr>
              <w:t xml:space="preserve">Fresh Revenues from Hubs with Spokes </w:t>
            </w:r>
            <w:r>
              <w:rPr>
                <w:rFonts w:ascii="Times New Roman;serif" w:hAnsi="Times New Roman;serif"/>
                <w:b/>
                <w:color w:val="000000"/>
                <w:sz w:val="10"/>
              </w:rPr>
              <w:t>(4)</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508,539</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535,088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519,102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Sales per Hub (millions) </w:t>
            </w:r>
            <w:r>
              <w:rPr>
                <w:rFonts w:ascii="Times New Roman;serif" w:hAnsi="Times New Roman;serif"/>
                <w:b/>
                <w:color w:val="000000"/>
                <w:sz w:val="10"/>
              </w:rPr>
              <w:t>(5)</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9.4</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Includes licensing royalties from customers for use of the Krispy Kreme brand.</w:t>
      </w:r>
    </w:p>
    <w:p>
      <w:pPr>
        <w:pStyle w:val="TextBody"/>
        <w:bidi w:val="0"/>
        <w:spacing w:lineRule="auto" w:line="288" w:before="0" w:after="0"/>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Includes Insomnia Cookies revenues (through the date of deconsolidation of July 14, 2024) and fresh revenues generated by hubs without spokes.</w:t>
      </w:r>
    </w:p>
    <w:p>
      <w:pPr>
        <w:pStyle w:val="TextBody"/>
        <w:bidi w:val="0"/>
        <w:spacing w:lineRule="auto" w:line="288" w:before="0" w:after="0"/>
        <w:ind w:left="0" w:right="0" w:hanging="360"/>
        <w:jc w:val="both"/>
      </w:pPr>
      <w:r>
        <w:rPr>
          <w:rFonts w:ascii="Times New Roman;serif" w:hAnsi="Times New Roman;serif"/>
          <w:b w:val="false"/>
          <w:color w:val="000000"/>
          <w:sz w:val="13"/>
        </w:rPr>
        <w:t>(3)</w:t>
      </w:r>
      <w:r>
        <w:rPr>
          <w:rFonts w:ascii="Times New Roman;serif" w:hAnsi="Times New Roman;serif"/>
          <w:b w:val="false"/>
          <w:color w:val="000000"/>
          <w:sz w:val="20"/>
        </w:rPr>
        <w:t>Includes operations of the joint venture in the western U.S. through the date of deconsolidation of March 23, 2026.</w:t>
      </w:r>
    </w:p>
    <w:p>
      <w:pPr>
        <w:pStyle w:val="TextBody"/>
        <w:bidi w:val="0"/>
        <w:spacing w:lineRule="auto" w:line="288" w:before="0" w:after="0"/>
        <w:ind w:left="0" w:right="0" w:hanging="360"/>
        <w:jc w:val="both"/>
      </w:pPr>
      <w:r>
        <w:rPr>
          <w:rFonts w:ascii="Times New Roman;serif" w:hAnsi="Times New Roman;serif"/>
          <w:b w:val="false"/>
          <w:color w:val="000000"/>
          <w:sz w:val="13"/>
        </w:rPr>
        <w:t>(4)</w:t>
      </w:r>
      <w:r>
        <w:rPr>
          <w:rFonts w:ascii="Times New Roman;serif" w:hAnsi="Times New Roman;serif"/>
          <w:b w:val="false"/>
          <w:color w:val="000000"/>
          <w:sz w:val="20"/>
        </w:rPr>
        <w:t>Total International net revenues is equal to fresh revenues from hubs with spokes for that business segment.</w:t>
      </w:r>
    </w:p>
    <w:p>
      <w:pPr>
        <w:pStyle w:val="TextBody"/>
        <w:bidi w:val="0"/>
        <w:spacing w:lineRule="auto" w:line="288" w:before="0" w:after="0"/>
        <w:ind w:left="0" w:right="0" w:hanging="360"/>
        <w:jc w:val="both"/>
      </w:pPr>
      <w:r>
        <w:rPr>
          <w:rFonts w:ascii="Times New Roman;serif" w:hAnsi="Times New Roman;serif"/>
          <w:b w:val="false"/>
          <w:color w:val="000000"/>
          <w:sz w:val="13"/>
        </w:rPr>
        <w:t>(5)</w:t>
      </w:r>
      <w:r>
        <w:rPr>
          <w:rFonts w:ascii="Times New Roman;serif" w:hAnsi="Times New Roman;serif"/>
          <w:b w:val="false"/>
          <w:color w:val="000000"/>
          <w:sz w:val="20"/>
        </w:rPr>
        <w:t>International sales per hub comparative data has been restated in constant currency based on current exchange rates and includes operations in Japan through the date of deconsolidation of March 2,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our International segment, where the Hub and Spoke model originated, we had Sales per Hub of $9.4 million during the trailing four quarters ended September 27, 2026, down from the $9.7 million generated in the full fiscal year 2025 and the $9.9 million generated in the full fiscal year 2024. The decrease is mainly attributable to the Japan refranchising, coupled with a decline in sales from the U.K. and Australia. The International segment illustrates the benefits of leveraging our Hub and Spoke model as the most efficient way to grow the business, as shown by the relatively stable Sales per Hub and higher Adjusted EBITDA margins despite elevated commodity costs and macroeconomic conditions. In the U.S. segment, we had Sales per Hub of $5.3 million during the trailing four quarters ended September 27, 2026, up from the $4.7 million generated in the full fiscal year 2025 and the $4.9 million generated in the full fiscal year 2024. In the U.S. we continue our efforts to increase the number of quality Spokes served by our Hubs. During fiscal 2025, we identified and exited underperforming Spokes in connection with our turnaround plan. We expect to increase the number of quality Spokes through growth with fresh delivery customers across the U.S. coupled with a continued focus on identifying and addressing underperforming fresh delivery doors.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Systemwide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utilize “Systemwide Sales” as a key performance indicator. Systemwide Sales reflects global sales in U.S. dollars on a nominal basis of all Krispy Kreme products, whether operated by the Company or franchisees, excluding mix, equipment, and royalty revenue. Sales from franchisees are reported to the Company by such franchisees and are not included in Company revenues. The Company believes Systemwide Sales information is important because it is indicative of the health of the Company’s brand and aids in understanding the Company’s financial performance.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quarter and three quarters ended September 27, 2026, we generated Systemwide Sales of $490.2 million and $1,473.2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Results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comparisons are historical results and are not indicative of future results, which could differ materially from the historical financial information presented. </w:t>
      </w:r>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Quarter ended September 27, 2026 compared to the Quarter ended September 28,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unaudited condensed consolidated results of operations for the quarter ended September 27, 2026 and the quarter ended September 28, 2025: </w:t>
      </w:r>
    </w:p>
    <w:tbl>
      <w:tblPr>
        <w:tblW w:w="10205" w:type="dxa"/>
        <w:jc w:val="left"/>
        <w:tblInd w:w="0" w:type="dxa"/>
        <w:tblLayout w:type="fixed"/>
        <w:tblCellMar>
          <w:top w:w="28" w:type="dxa"/>
          <w:left w:w="28" w:type="dxa"/>
          <w:bottom w:w="28" w:type="dxa"/>
          <w:right w:w="28" w:type="dxa"/>
        </w:tblCellMar>
      </w:tblPr>
      <w:tblGrid>
        <w:gridCol w:w="926"/>
        <w:gridCol w:w="546"/>
        <w:gridCol w:w="550"/>
        <w:gridCol w:w="211"/>
        <w:gridCol w:w="826"/>
        <w:gridCol w:w="109"/>
        <w:gridCol w:w="109"/>
        <w:gridCol w:w="109"/>
        <w:gridCol w:w="109"/>
        <w:gridCol w:w="314"/>
        <w:gridCol w:w="317"/>
        <w:gridCol w:w="467"/>
        <w:gridCol w:w="109"/>
        <w:gridCol w:w="109"/>
        <w:gridCol w:w="109"/>
        <w:gridCol w:w="211"/>
        <w:gridCol w:w="826"/>
        <w:gridCol w:w="109"/>
        <w:gridCol w:w="109"/>
        <w:gridCol w:w="109"/>
        <w:gridCol w:w="109"/>
        <w:gridCol w:w="314"/>
        <w:gridCol w:w="317"/>
        <w:gridCol w:w="467"/>
        <w:gridCol w:w="109"/>
        <w:gridCol w:w="109"/>
        <w:gridCol w:w="109"/>
        <w:gridCol w:w="211"/>
        <w:gridCol w:w="748"/>
        <w:gridCol w:w="109"/>
        <w:gridCol w:w="109"/>
        <w:gridCol w:w="109"/>
        <w:gridCol w:w="109"/>
        <w:gridCol w:w="321"/>
        <w:gridCol w:w="322"/>
        <w:gridCol w:w="349"/>
      </w:tblGrid>
      <w:tr>
        <w:tc>
          <w:tcPr>
            <w:tcW w:w="9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 </w:t>
            </w: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20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328,758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100.0</w:t>
            </w:r>
            <w:r>
              <w:rPr>
                <w:color w:val="000000"/>
              </w:rPr>
              <w:t>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375,298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100.0</w:t>
            </w:r>
            <w:r>
              <w:rPr>
                <w:color w:val="000000"/>
              </w:rPr>
              <w:t>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expense/(income),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(8,965)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(7,180)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(24.9)</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c>
          <w:tcPr>
            <w:tcW w:w="202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non-operating expense/(income),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(22,947)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3.4</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(13,315)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(20,131)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6,816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33.9</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202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(13,358)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(19,444)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6,086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31.3</w:t>
            </w:r>
            <w:r>
              <w:rPr>
                <w:color w:val="000000"/>
              </w:rPr>
              <w:t>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further breakdown of total net revenue and organic revenue growth by segment for the quarter ended September 27, 2026 compared to the quarter ended September 28, 2025: </w:t>
      </w:r>
    </w:p>
    <w:tbl>
      <w:tblPr>
        <w:tblW w:w="10205" w:type="dxa"/>
        <w:jc w:val="left"/>
        <w:tblInd w:w="0" w:type="dxa"/>
        <w:tblLayout w:type="fixed"/>
        <w:tblCellMar>
          <w:top w:w="28" w:type="dxa"/>
          <w:left w:w="28" w:type="dxa"/>
          <w:bottom w:w="28" w:type="dxa"/>
          <w:right w:w="28" w:type="dxa"/>
        </w:tblCellMar>
      </w:tblPr>
      <w:tblGrid>
        <w:gridCol w:w="1440"/>
        <w:gridCol w:w="1241"/>
        <w:gridCol w:w="1250"/>
        <w:gridCol w:w="211"/>
        <w:gridCol w:w="826"/>
        <w:gridCol w:w="301"/>
        <w:gridCol w:w="109"/>
        <w:gridCol w:w="109"/>
        <w:gridCol w:w="109"/>
        <w:gridCol w:w="211"/>
        <w:gridCol w:w="826"/>
        <w:gridCol w:w="301"/>
        <w:gridCol w:w="109"/>
        <w:gridCol w:w="109"/>
        <w:gridCol w:w="109"/>
        <w:gridCol w:w="211"/>
        <w:gridCol w:w="721"/>
        <w:gridCol w:w="301"/>
        <w:gridCol w:w="109"/>
        <w:gridCol w:w="109"/>
        <w:gridCol w:w="109"/>
        <w:gridCol w:w="211"/>
        <w:gridCol w:w="826"/>
        <w:gridCol w:w="347"/>
      </w:tblGrid>
      <w:tr>
        <w:tc>
          <w:tcPr>
            <w:tcW w:w="14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c>
          <w:tcPr>
            <w:tcW w:w="3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w:t>
              <w:br/>
              <w:t xml:space="preserve">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br/>
              <w:t xml:space="preserve">Company </w:t>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 in third quarter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revenues in third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375,298 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(55,311)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(16,761)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25,532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(46,540)</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135.3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 refranchising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(53,836)</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revenues in third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321,462 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1,387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7,909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7,296</w:t>
            </w: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w:t>
            </w: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1,387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(6,737)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5,099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(251)</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 %</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0.9</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14.0</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(0.1)</w:t>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left"/>
      </w:pPr>
      <w:r>
        <w:rPr>
          <w:rFonts w:ascii="Times New Roman;serif" w:hAnsi="Times New Roman;serif"/>
          <w:b w:val="false"/>
          <w:color w:val="000000"/>
          <w:sz w:val="20"/>
        </w:rPr>
        <w:t>Total net revenue declined $46.5 million, or 12.4%, from the third quarter of fiscal 2025 to the third quarter of fiscal 2026, primarily due to the $53.8 million reduction associated with refranchising efforts taken in the U.S. and International segments. The results of refranchised businesses are reported within the U.S. or International segments, as applicable, prior to the respective dates of divestiture, and are reported within the Market Development segment, following the respective dates of divestiture. Organic revenue decreased by 0.1%, primarily driven by a</w:t>
      </w:r>
      <w:r>
        <w:rPr>
          <w:color w:val="000000"/>
          <w:shd w:fill="FFFFFF" w:val="clear"/>
        </w:rPr>
        <w:t xml:space="preserve"> </w:t>
      </w:r>
      <w:r>
        <w:rPr>
          <w:rFonts w:ascii="Times New Roman;serif" w:hAnsi="Times New Roman;serif"/>
          <w:b w:val="false"/>
          <w:color w:val="000000"/>
          <w:sz w:val="20"/>
          <w:shd w:fill="FFFFFF" w:val="clear"/>
        </w:rPr>
        <w:t>decline in the International segment, mostly offset by growth in the Market Development and U.S. segments</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U.S. segment net revenue declined $55.3 million, or 25.6%, from the third quarter of fiscal 2025 to the third quarter of fiscal 2026, primarily due to the $56.7 million reduction associated with the WKS refranchising. U.S. organic revenue increased by 0.9%, driven by growth in fresh delivery and digital.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segment net revenue declined $16.8 million, or 12.0%, from the third quarter of fiscal 2025 to the third quarter of fiscal 2026, due primarily to the impacts of the refranchising of Japan, partially offset by foreign currency translation impacts of $4.7 million. International organic revenue decreased by 5.4%, driven primarily by declines in the U.K., partially offset an increase in Canada.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Market Development segment net revenue increased $25.5 million, or 135.3%, from the third quarter of fiscal 2025 to the third quarter of fiscal 2026, primarily due to the $17.6 million benefit from refranchisings in the first quarter of fiscal 2026. Market Development organic revenue increased by 14.0%, primarily due to an increase in royalty revenues primarily from the U.S., Middle East, Japan and Brazil.</w:t>
      </w:r>
    </w:p>
    <w:p>
      <w:pPr>
        <w:pStyle w:val="TextBody"/>
        <w:bidi w:val="0"/>
        <w:spacing w:lineRule="auto" w:line="288" w:before="240" w:after="283"/>
        <w:jc w:val="both"/>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Operating expenses decreased $44.7 million, or 22.8%, from the third quarter of fiscal 2025 to the third quarter of fiscal 2026, driven mainly by a decrease of $25.5 million in shop labor expenses related to the lower staffing levels and reduced labor requirements in connection with our turnaround plan, coupled with an $8.5 million decrease in costs associated with the transition to third-party logistics, $5.6 million in costs associated with the refranchising transactions completed in the first quarter of fiscal 2026, with the remaining decrease attributable to operating efficiencies. Operating expenses as a percentage of revenue decreased by 620 basis points, from 52.2% in the third quarter of fiscal 2025 to 46.0% in the third quarter of fiscal 2026, primarily due to increased operational efficiencies as we continue to deliver on our turnaround plan.</w:t>
      </w:r>
    </w:p>
    <w:p>
      <w:pPr>
        <w:pStyle w:val="TextBody"/>
        <w:bidi w:val="0"/>
        <w:spacing w:lineRule="auto" w:line="288" w:before="240" w:after="283"/>
        <w:jc w:val="both"/>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Selling, general and administrative (“SG&amp;A”) expense increased $5.2 million, or 10.6%, from the third quarter of fiscal 2025 to the third quarter of fiscal 2026, driven primarily by a $4.0 million increase in share-based compensation expense coupled with a $2.6 million increase in employee costs, partially offset by a $1.4 million decrease in marketing fees. SG&amp;A as a percentage of revenue, increased by 340 basis points, from 13.2% in the third quarter of fiscal 2025 to 16.6% in the third quarter of fiscal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pPr>
      <w:r>
        <w:rPr>
          <w:rFonts w:ascii="Times New Roman;serif" w:hAnsi="Times New Roman;serif"/>
          <w:b w:val="false"/>
          <w:i/>
          <w:color w:val="000000"/>
          <w:sz w:val="20"/>
        </w:rPr>
        <w:t xml:space="preserve">Other expense/(income), net: </w:t>
      </w:r>
      <w:r>
        <w:rPr>
          <w:rFonts w:ascii="Times New Roman;serif" w:hAnsi="Times New Roman;serif"/>
          <w:b w:val="false"/>
          <w:color w:val="000000"/>
          <w:sz w:val="20"/>
        </w:rPr>
        <w:t>Other expense/(income), net increased $12.4 million, or 126.3%, from the third quarter of fiscal 2025 to the third quarter of fiscal 2026, primarily driven by $9.3 million of business interruption insurance recoveries in the third quarter of fiscal 2025 related to the 2024 Cybersecurity Incident. Other expense/(income), net of $2.6 million in the third quarter of fiscal 2026 primarily reflected approximately $1.5 million of other non-core operating expenses and approximately $0.5 million of losses on disposal of fixed assets. Other expense/(income), net of $(9.8) million in the third quarter of fiscal 2025 was primarily related to the cybersecurity recovery referred to above. As a percentage of revenue, other expense/(income), net increased 340 basis points, from (2.6)% in the third quarter of fiscal 2025 to 0.8% in the third quarter of fiscal 2026.</w:t>
      </w:r>
    </w:p>
    <w:p>
      <w:pPr>
        <w:pStyle w:val="TextBody"/>
        <w:bidi w:val="0"/>
        <w:spacing w:lineRule="auto" w:line="288" w:before="240" w:after="283"/>
        <w:jc w:val="both"/>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and amortization expense decreased $6.7 million, or 20.1%, from the third quarter of fiscal 2025 to the third quarter of fiscal 2026, primarily driven by lower finance lease amortization expense and fixed asset impairments taken in the third quarter of fiscal 2026. As a percentage of revenue, Depreciation and amortization expense decreased 80 basis points, from 8.9% in the third quarter of fiscal 2025 to 8.1% in the third quarter of fiscal 2026.</w:t>
      </w:r>
    </w:p>
    <w:p>
      <w:pPr>
        <w:pStyle w:val="TextBody"/>
        <w:bidi w:val="0"/>
        <w:spacing w:lineRule="auto" w:line="288" w:before="240" w:after="283"/>
        <w:jc w:val="both"/>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decreased $3.2 million, or 19.4%, from the third quarter of fiscal 2025 to the third quarter of fiscal 2026, primarily driven by a lower average debt balance.</w:t>
      </w:r>
    </w:p>
    <w:p>
      <w:pPr>
        <w:pStyle w:val="TextBody"/>
        <w:bidi w:val="0"/>
        <w:spacing w:lineRule="auto" w:line="288" w:before="240" w:after="283"/>
        <w:jc w:val="both"/>
      </w:pPr>
      <w:r>
        <w:rPr>
          <w:rFonts w:ascii="Times New Roman;serif" w:hAnsi="Times New Roman;serif"/>
          <w:b w:val="false"/>
          <w:i/>
          <w:color w:val="000000"/>
          <w:sz w:val="20"/>
          <w:shd w:fill="FFFFFF" w:val="clear"/>
        </w:rPr>
        <w:t>Income tax benefit:</w:t>
      </w:r>
      <w:r>
        <w:rPr>
          <w:color w:val="000000"/>
          <w:shd w:fill="FFFFFF" w:val="clear"/>
        </w:rPr>
        <w:t xml:space="preserve"> </w:t>
      </w:r>
      <w:r>
        <w:rPr>
          <w:rFonts w:ascii="Times New Roman;serif" w:hAnsi="Times New Roman;serif"/>
          <w:b w:val="false"/>
          <w:color w:val="000000"/>
          <w:sz w:val="20"/>
          <w:shd w:fill="FFFFFF" w:val="clear"/>
        </w:rPr>
        <w:t xml:space="preserve">Income tax benefit was </w:t>
      </w:r>
      <w:r>
        <w:rPr>
          <w:rFonts w:ascii="Times New Roman;serif" w:hAnsi="Times New Roman;serif"/>
          <w:b w:val="false"/>
          <w:color w:val="000000"/>
          <w:sz w:val="20"/>
        </w:rPr>
        <w:t>$8.9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of fiscal 2026, while income tax benefit was </w:t>
      </w:r>
      <w:r>
        <w:rPr>
          <w:rFonts w:ascii="Times New Roman;serif" w:hAnsi="Times New Roman;serif"/>
          <w:b w:val="false"/>
          <w:color w:val="000000"/>
          <w:sz w:val="20"/>
        </w:rPr>
        <w:t xml:space="preserve">$2.8 million in the third quarter of fiscal 2025. The variance </w:t>
      </w:r>
      <w:r>
        <w:rPr>
          <w:rFonts w:ascii="Times New Roman;serif" w:hAnsi="Times New Roman;serif"/>
          <w:b w:val="false"/>
          <w:color w:val="000000"/>
          <w:sz w:val="20"/>
          <w:shd w:fill="FFFFFF" w:val="clear"/>
        </w:rPr>
        <w:t>was primarily driven by the tax effects of the mix of income and taxes attributable to foreign jurisdictions, and the release of previously accrued uncertain tax benefits.</w:t>
      </w:r>
    </w:p>
    <w:p>
      <w:pPr>
        <w:pStyle w:val="TextBody"/>
        <w:bidi w:val="0"/>
        <w:spacing w:lineRule="auto" w:line="288" w:before="360" w:after="283"/>
        <w:jc w:val="both"/>
      </w:pPr>
      <w:r>
        <w:rPr>
          <w:rFonts w:ascii="Times New Roman;serif" w:hAnsi="Times New Roman;serif"/>
          <w:b/>
          <w:i/>
          <w:color w:val="000000"/>
          <w:sz w:val="20"/>
        </w:rPr>
        <w:t>Results of Operations by Segment – Quarter ended September 27, 2026 compared to the Quarter ended September 28, 2025</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Adjusted EBITDA by segment for the periods indicated: </w:t>
      </w:r>
    </w:p>
    <w:tbl>
      <w:tblPr>
        <w:tblW w:w="8546" w:type="dxa"/>
        <w:jc w:val="left"/>
        <w:tblInd w:w="0" w:type="dxa"/>
        <w:tblLayout w:type="fixed"/>
        <w:tblCellMar>
          <w:top w:w="28" w:type="dxa"/>
          <w:left w:w="28" w:type="dxa"/>
          <w:bottom w:w="28" w:type="dxa"/>
          <w:right w:w="28" w:type="dxa"/>
        </w:tblCellMar>
      </w:tblPr>
      <w:tblGrid>
        <w:gridCol w:w="916"/>
        <w:gridCol w:w="806"/>
        <w:gridCol w:w="812"/>
        <w:gridCol w:w="308"/>
        <w:gridCol w:w="1077"/>
        <w:gridCol w:w="159"/>
        <w:gridCol w:w="109"/>
        <w:gridCol w:w="109"/>
        <w:gridCol w:w="109"/>
        <w:gridCol w:w="308"/>
        <w:gridCol w:w="1077"/>
        <w:gridCol w:w="159"/>
        <w:gridCol w:w="109"/>
        <w:gridCol w:w="109"/>
        <w:gridCol w:w="109"/>
        <w:gridCol w:w="211"/>
        <w:gridCol w:w="691"/>
        <w:gridCol w:w="109"/>
        <w:gridCol w:w="109"/>
        <w:gridCol w:w="109"/>
        <w:gridCol w:w="109"/>
        <w:gridCol w:w="293"/>
        <w:gridCol w:w="293"/>
        <w:gridCol w:w="346"/>
      </w:tblGrid>
      <w:t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0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18,468 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(17,164)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(15,564)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pPr>
            <w:r>
              <w:rPr>
                <w:rFonts w:ascii="Times New Roman;serif" w:hAnsi="Times New Roman;serif"/>
                <w:b/>
                <w:color w:val="000000"/>
                <w:sz w:val="20"/>
              </w:rPr>
              <w:t xml:space="preserve">Total Adjusted EBITDA </w:t>
            </w:r>
            <w:r>
              <w:rPr>
                <w:rFonts w:ascii="Times New Roman;serif" w:hAnsi="Times New Roman;serif"/>
                <w:b/>
                <w:color w:val="000000"/>
                <w:sz w:val="10"/>
              </w:rPr>
              <w:t>(1)</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35,259</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40,597</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(5,338)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Refer to “</w:t>
      </w:r>
      <w:hyperlink w:anchor="i85d8b002594243e7b51da769cf4c7d6e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 xml:space="preserve">above for a reconciliation of Adjusted EBITDA to net loss.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segment Adjusted EBITDA decreased $7.1 million, or 34.0%, with margin decline of 110 basis points to 8.6% in the third quarter of fiscal 2026 compared to the third quarter of fiscal 2025, primarily driven by the $9.3 million cybersecurity insurance recovery in the prior year third period and refranchising transactions completed in the first quarter of fiscal 2026. Excluding the $9.3 million of business interruption insurance recovery in the year ago period, U.S. Adjusted EBITDA increased $2.2 million, driven by increased profitability associated with our turnaround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decreased $3.1 million, or 13.2%, primarily due to refranchising of the Japan business. The margin decline of 20 basis points to 16.3% in the third quarter of fiscal 2026 compared to the third quarter of fiscal 2025 was due to margin declines in Australia-New Zealand and, to a lesser extent, the impact of the Japan refranchising, transaction partially offset by margin improvements in Canada.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Development segment Adjusted EBITDA increased $6.5 million, or 54.0%, primarily due to the WKS Refranchising and the Japan refranchising. Adjusted EBITDA margin declined 2,190 basis points to 41.6% in the third quarter of fiscal 2026 compared to the third quarter of fiscal 2025, driven by changes in the regional mix of increased lower-margin U.S. franchised sales, associated with the refranchising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Quarters ended September 27, 2026 compared to the Three Quarters ended September 28,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unaudited condensed consolidated results of operations for the three quarters ended September 27, 2026 and the three quarters ended September 28, 2025: </w:t>
      </w:r>
    </w:p>
    <w:tbl>
      <w:tblPr>
        <w:tblW w:w="10205" w:type="dxa"/>
        <w:jc w:val="left"/>
        <w:tblInd w:w="0" w:type="dxa"/>
        <w:tblLayout w:type="fixed"/>
        <w:tblCellMar>
          <w:top w:w="28" w:type="dxa"/>
          <w:left w:w="28" w:type="dxa"/>
          <w:bottom w:w="28" w:type="dxa"/>
          <w:right w:w="28" w:type="dxa"/>
        </w:tblCellMar>
      </w:tblPr>
      <w:tblGrid>
        <w:gridCol w:w="863"/>
        <w:gridCol w:w="469"/>
        <w:gridCol w:w="472"/>
        <w:gridCol w:w="211"/>
        <w:gridCol w:w="826"/>
        <w:gridCol w:w="109"/>
        <w:gridCol w:w="109"/>
        <w:gridCol w:w="109"/>
        <w:gridCol w:w="109"/>
        <w:gridCol w:w="314"/>
        <w:gridCol w:w="317"/>
        <w:gridCol w:w="452"/>
        <w:gridCol w:w="109"/>
        <w:gridCol w:w="109"/>
        <w:gridCol w:w="109"/>
        <w:gridCol w:w="211"/>
        <w:gridCol w:w="976"/>
        <w:gridCol w:w="109"/>
        <w:gridCol w:w="109"/>
        <w:gridCol w:w="109"/>
        <w:gridCol w:w="109"/>
        <w:gridCol w:w="314"/>
        <w:gridCol w:w="317"/>
        <w:gridCol w:w="452"/>
        <w:gridCol w:w="109"/>
        <w:gridCol w:w="109"/>
        <w:gridCol w:w="109"/>
        <w:gridCol w:w="211"/>
        <w:gridCol w:w="849"/>
        <w:gridCol w:w="109"/>
        <w:gridCol w:w="109"/>
        <w:gridCol w:w="109"/>
        <w:gridCol w:w="109"/>
        <w:gridCol w:w="319"/>
        <w:gridCol w:w="320"/>
        <w:gridCol w:w="350"/>
      </w:tblGrid>
      <w:tr>
        <w:tc>
          <w:tcPr>
            <w:tcW w:w="8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18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986,730 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1,026,787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100.0</w:t>
            </w:r>
            <w:r>
              <w:rPr>
                <w:color w:val="000000"/>
              </w:rPr>
              <w:t>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1,130,249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100.0</w:t>
            </w:r>
            <w:r>
              <w:rPr>
                <w:color w:val="000000"/>
              </w:rPr>
              <w:t>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(103,462)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Gain on refranchising,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expense/(income),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(23,566)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(462,000)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(40.9)</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438,434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94.9</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non-operating expense/(income),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(65,356)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(520,590)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(46.1)</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455,234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87.4</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(55,819)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(494,654)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(43.8)</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438,835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88.7</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1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35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(56,453)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(487,988)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(43.2)</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431,535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88.4</w:t>
            </w:r>
            <w:r>
              <w:rPr>
                <w:color w:val="000000"/>
              </w:rPr>
              <w:t>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further breakdown of total net revenue and organic revenue growth by segment for the three quarters ended September 27, 2026 compared to the three quarters ended September 28, 2025:</w:t>
      </w:r>
    </w:p>
    <w:tbl>
      <w:tblPr>
        <w:tblW w:w="10205" w:type="dxa"/>
        <w:jc w:val="left"/>
        <w:tblInd w:w="0" w:type="dxa"/>
        <w:tblLayout w:type="fixed"/>
        <w:tblCellMar>
          <w:top w:w="28" w:type="dxa"/>
          <w:left w:w="28" w:type="dxa"/>
          <w:bottom w:w="28" w:type="dxa"/>
          <w:right w:w="28" w:type="dxa"/>
        </w:tblCellMar>
      </w:tblPr>
      <w:tblGrid>
        <w:gridCol w:w="1376"/>
        <w:gridCol w:w="1146"/>
        <w:gridCol w:w="1154"/>
        <w:gridCol w:w="211"/>
        <w:gridCol w:w="826"/>
        <w:gridCol w:w="301"/>
        <w:gridCol w:w="109"/>
        <w:gridCol w:w="109"/>
        <w:gridCol w:w="109"/>
        <w:gridCol w:w="211"/>
        <w:gridCol w:w="826"/>
        <w:gridCol w:w="301"/>
        <w:gridCol w:w="109"/>
        <w:gridCol w:w="109"/>
        <w:gridCol w:w="109"/>
        <w:gridCol w:w="211"/>
        <w:gridCol w:w="826"/>
        <w:gridCol w:w="301"/>
        <w:gridCol w:w="109"/>
        <w:gridCol w:w="109"/>
        <w:gridCol w:w="109"/>
        <w:gridCol w:w="211"/>
        <w:gridCol w:w="976"/>
        <w:gridCol w:w="347"/>
      </w:tblGrid>
      <w:tr>
        <w:tc>
          <w:tcPr>
            <w:tcW w:w="137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w:t>
              <w:br/>
              <w:t xml:space="preserve">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br/>
              <w:t xml:space="preserve">Company </w:t>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 in first three quarters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555,106 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366,076 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1,026,787 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revenues in first three quarters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1,130,249 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(127,724)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(26,551)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50,813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(103,462)</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92.7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 refranchising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(118,795)</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revenues in first three quarters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1,011,454 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growth/(decline)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9,901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13,072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15,333</w:t>
            </w: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(7,640)</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(12,190)</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9,220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(10,610)</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10.0</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net revenue declined $103.5 million, or 9.2%, from the first three quarters of fiscal 2025 to the first three quarters of fiscal 2026, primarily due to the $118.8 million reduction associated with refranchising efforts taken in the U.S. and International segments, partially offset by an increase in royalty revenue. Organic revenue declined $10.6 million, or 1.0%, primarily driven by lower Doughnut Shop transaction volume impacted by consumer softness in a challenging macroeconomic environment.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U.S. segment net revenue declined $127.7 million, or 18.7%, from the first three quarters of fiscal 2025 to the first three quarters of fiscal 2026, primarily due to the refranchising efforts in fiscal 2026. U.S. organic revenue declined $7.6 million, or 1.4%, primarily driven by lower Doughnut Shop transaction volume impacted by consumer softness in a challenging macroeconomic environment. The organic revenue decline was also driven by Points of Access decline of 813, or 11.2%, impacted by the strategic closure of underperforming fresh delivery doors.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segment net revenue declined $26.6 million, or 6.8%, from the first three quarters of fiscal 2025 to the first three quarters of fiscal 2026, driven by the $36.5 million impact of the Japan refranchising transaction in fiscal 2026. International organic revenue declined $12.2 million, or 3.4%, driven primarily by declines in the U.K, Australia-New Zealand and Mexico.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Market Development segment net revenue increased $50.8 million, or 92.7%, from the first three quarters of fiscal 2025 to the first three quarters of fiscal 2026, primarily due to the $37.7 million impact of refranchising transactions in fiscal 2026. Market Development organic revenue increased $9.2 million, or 10.0%, primarily driven by an increase in royalty revenues.</w:t>
      </w:r>
    </w:p>
    <w:p>
      <w:pPr>
        <w:pStyle w:val="TextBody"/>
        <w:bidi w:val="0"/>
        <w:spacing w:lineRule="auto" w:line="288" w:before="240" w:after="283"/>
        <w:jc w:val="left"/>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 xml:space="preserve">Operating expenses decreased $107.3 million, or 17.7%, from the first three quarters of fiscal 2025 to the first three quarters of fiscal 2026, driven mainly by a decrease of $63.8 million in shop labor expenses related to the lower staffing levels and reduced labor requirements in connection with our turnaround plan, coupled with a $17.7 million decrease in costs associated with the transition to third-party logistics, $12.0 million in costs associated with the refranchising transactions completed in the first quarter of fiscal 2026, with the remaining decrease of $13.9 million attributable to operational efficiencies. Operating expenses as a percentage of revenue decreased 510 basis points, from 53.6% in the first three quarters of fiscal 2025 to 48.5% in the first three quarters of fiscal 2026, primarily due to operational efficiencies associated with our turnaround plan. </w:t>
      </w:r>
    </w:p>
    <w:p>
      <w:pPr>
        <w:pStyle w:val="TextBody"/>
        <w:bidi w:val="0"/>
        <w:spacing w:lineRule="auto" w:line="288" w:before="240" w:after="283"/>
        <w:jc w:val="both"/>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SG&amp;A expense decreased $5.4 million, or 3.1%, from the first three quarters of fiscal 2025 to the first three quarters of fiscal 2026, driven mainly by a $6.9 million reduction in legal professional fees, coupled with a $1.1 million reduction in insurance costs, partially offset by an increase in bad debt expense of $2.7 million. As a percentage of revenue, SG&amp;A expense increased 100 basis points, from 15.2% in the first three quarters of fiscal 2025 to 16.2% in the first three quarters of fiscal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pPr>
      <w:r>
        <w:rPr>
          <w:rFonts w:ascii="Times New Roman;serif" w:hAnsi="Times New Roman;serif"/>
          <w:b w:val="false"/>
          <w:i/>
          <w:color w:val="000000"/>
          <w:sz w:val="20"/>
        </w:rPr>
        <w:t>Goodwill and other asset impairments:</w:t>
      </w:r>
      <w:r>
        <w:rPr>
          <w:color w:val="000000"/>
        </w:rPr>
        <w:t xml:space="preserve"> </w:t>
      </w:r>
      <w:r>
        <w:rPr>
          <w:rFonts w:ascii="Times New Roman;serif" w:hAnsi="Times New Roman;serif"/>
          <w:b w:val="false"/>
          <w:color w:val="000000"/>
          <w:sz w:val="20"/>
        </w:rPr>
        <w:t>Goodwill and other asset impairments of $12.5 million for the first three quarters of fiscal 2026 consists primarily of truck impairments resulting from the transition to third-party logistics. Goodwill and other asset impairments of $411.9 million in the first three quarters of fiscal 2025, is driven by the $356.0 million non-cash goodwill impairment charge, coupled with a $26.7 million non-cash long-lived asset impairment charge and non-cash lease impairment and termination costs of $29.2 million in the first three quarters of fiscal 2025.</w:t>
      </w:r>
    </w:p>
    <w:p>
      <w:pPr>
        <w:pStyle w:val="TextBody"/>
        <w:bidi w:val="0"/>
        <w:spacing w:lineRule="auto" w:line="288" w:before="240" w:after="283"/>
        <w:jc w:val="both"/>
      </w:pPr>
      <w:r>
        <w:rPr>
          <w:rFonts w:ascii="Times New Roman;serif" w:hAnsi="Times New Roman;serif"/>
          <w:b w:val="false"/>
          <w:i/>
          <w:color w:val="000000"/>
          <w:sz w:val="20"/>
        </w:rPr>
        <w:t>Gain on refranchising, net</w:t>
      </w:r>
      <w:r>
        <w:rPr>
          <w:rFonts w:ascii="Times New Roman;serif" w:hAnsi="Times New Roman;serif"/>
          <w:b w:val="false"/>
          <w:color w:val="000000"/>
          <w:sz w:val="20"/>
        </w:rPr>
        <w:t xml:space="preserve">: In the first quarter of fiscal 2026, the Company completed two refranchising transactions, one each impacting the U.S. and International business segments, resulting in a net gain of $8.9 million. Refer to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further information.</w:t>
      </w:r>
    </w:p>
    <w:p>
      <w:pPr>
        <w:pStyle w:val="TextBody"/>
        <w:bidi w:val="0"/>
        <w:spacing w:lineRule="auto" w:line="288" w:before="240" w:after="283"/>
        <w:jc w:val="both"/>
      </w:pPr>
      <w:r>
        <w:rPr>
          <w:rFonts w:ascii="Times New Roman;serif" w:hAnsi="Times New Roman;serif"/>
          <w:b w:val="false"/>
          <w:i/>
          <w:color w:val="000000"/>
          <w:sz w:val="20"/>
        </w:rPr>
        <w:t xml:space="preserve">Other expense/(income), net: </w:t>
      </w:r>
      <w:r>
        <w:rPr>
          <w:rFonts w:ascii="Times New Roman;serif" w:hAnsi="Times New Roman;serif"/>
          <w:b w:val="false"/>
          <w:color w:val="000000"/>
          <w:sz w:val="20"/>
        </w:rPr>
        <w:t xml:space="preserve">Other expense/(income), net of $4.4 million in the first three quarters of fiscal 2026 primarily reflected approximately $2.0 million of other non-core operating expenses and approximately $2.0 million of losses on disposal of fixed assets. Other expense/(income), net of $(16.9) million in the first three quarters of fiscal 2025 was primarily related to $9.3 million of business interruption insurance recoveries related to the 2024 Cybersecurity Incident and gains on sale-leaseback transactions as described in </w:t>
      </w:r>
      <w:hyperlink w:anchor="i85d8b002594243e7b51da769cf4c7d6e_49">
        <w:r>
          <w:rPr>
            <w:rStyle w:val="InternetLink"/>
          </w:rPr>
          <w:t xml:space="preserve">Note </w:t>
        </w:r>
      </w:hyperlink>
      <w:hyperlink w:anchor="i85d8b002594243e7b51da769cf4c7d6e_49">
        <w:r>
          <w:rPr>
            <w:rStyle w:val="InternetLink"/>
          </w:rPr>
          <w:t>6</w:t>
        </w:r>
      </w:hyperlink>
      <w:r>
        <w:rPr>
          <w:rFonts w:ascii="Times New Roman;serif" w:hAnsi="Times New Roman;serif"/>
          <w:b w:val="false"/>
          <w:color w:val="000000"/>
          <w:sz w:val="20"/>
        </w:rPr>
        <w:t>, Leases, to the Condensed Consolidated Financial Statements. As a percentage of revenue, other expense/(income), net increased 190 basis points, from (1.5)% in the first three quarters of fiscal 2025 to 0.4% in the first three quarters of fiscal 2026.</w:t>
      </w:r>
    </w:p>
    <w:p>
      <w:pPr>
        <w:pStyle w:val="TextBody"/>
        <w:bidi w:val="0"/>
        <w:spacing w:lineRule="auto" w:line="288" w:before="240" w:after="283"/>
        <w:jc w:val="both"/>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and amortization expense decreased $17.3 million, or 16.8%, from the first three quarters of fiscal 2025 to the first three quarters of fiscal 2026. As a percentage of revenue, Depreciation and amortization expense decreased 70 basis points, from 9.1% in the first three quarters of fiscal 2025 to 8.4% in the first three quarters of fiscal 2026, primarily driven by lower finance lease amortization expense and fixed asset impairments taken in the second quarter of fiscal 2025 following the termination of the Business Relationship Agreement with McDonald’s USA.</w:t>
      </w:r>
    </w:p>
    <w:p>
      <w:pPr>
        <w:pStyle w:val="TextBody"/>
        <w:bidi w:val="0"/>
        <w:spacing w:lineRule="auto" w:line="288" w:before="240" w:after="283"/>
        <w:jc w:val="both"/>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decreased $7.1 million, or 14.3%, from the first three quarters of fiscal 2025 to the first three quarters of fiscal 2026, primarily driven by a lower average debt balance.</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Loss on divestiture of Insomnia Cookies</w:t>
      </w:r>
      <w:r>
        <w:rPr>
          <w:rFonts w:ascii="Times New Roman;serif" w:hAnsi="Times New Roman;serif"/>
          <w:b w:val="false"/>
          <w:color w:val="000000"/>
          <w:sz w:val="20"/>
        </w:rPr>
        <w:t>: In the first three quarters of fiscal 2025, we sold the remainder of our ownership interest in Insomnia Cookies for cash proceeds and recognized a loss on divestiture of $11.5 million (gross of income taxes) with no comparable activity in the first three quarters of fiscal 2026.</w:t>
      </w:r>
    </w:p>
    <w:p>
      <w:pPr>
        <w:pStyle w:val="TextBody"/>
        <w:bidi w:val="0"/>
        <w:spacing w:lineRule="auto" w:line="288" w:before="240" w:after="283"/>
        <w:jc w:val="both"/>
      </w:pPr>
      <w:r>
        <w:rPr>
          <w:rFonts w:ascii="Times New Roman;serif" w:hAnsi="Times New Roman;serif"/>
          <w:b w:val="false"/>
          <w:i/>
          <w:color w:val="000000"/>
          <w:sz w:val="20"/>
          <w:shd w:fill="FFFFFF" w:val="clear"/>
        </w:rPr>
        <w:t>Income tax benefit:</w:t>
      </w:r>
      <w:r>
        <w:rPr>
          <w:color w:val="000000"/>
          <w:shd w:fill="FFFFFF" w:val="clear"/>
        </w:rPr>
        <w:t xml:space="preserve"> </w:t>
      </w:r>
      <w:r>
        <w:rPr>
          <w:rFonts w:ascii="Times New Roman;serif" w:hAnsi="Times New Roman;serif"/>
          <w:b w:val="false"/>
          <w:color w:val="000000"/>
          <w:sz w:val="20"/>
          <w:shd w:fill="FFFFFF" w:val="clear"/>
        </w:rPr>
        <w:t xml:space="preserve">Income tax benefit was $9.5 million in the first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quarters of fiscal 2026, while income tax benefit was $25.9 million in the first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quarters of fiscal 2025. The variance was primarily driven by the WKS Refranchising and the refranchising of Japan and an increase in pre-tax results in the first three quarters of fiscal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pPr>
      <w:r>
        <w:rPr>
          <w:rFonts w:ascii="Times New Roman;serif" w:hAnsi="Times New Roman;serif"/>
          <w:b/>
          <w:i/>
          <w:color w:val="000000"/>
          <w:sz w:val="20"/>
        </w:rPr>
        <w:t>Results of Operations by Segment – Three Quarters ended September 27, 2026 compared to the Three Quarters ended September 28, 2025</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by segment for the periods indicated:</w:t>
      </w:r>
    </w:p>
    <w:tbl>
      <w:tblPr>
        <w:tblW w:w="8576" w:type="dxa"/>
        <w:jc w:val="left"/>
        <w:tblInd w:w="0" w:type="dxa"/>
        <w:tblLayout w:type="fixed"/>
        <w:tblCellMar>
          <w:top w:w="28" w:type="dxa"/>
          <w:left w:w="28" w:type="dxa"/>
          <w:bottom w:w="28" w:type="dxa"/>
          <w:right w:w="28" w:type="dxa"/>
        </w:tblCellMar>
      </w:tblPr>
      <w:tblGrid>
        <w:gridCol w:w="916"/>
        <w:gridCol w:w="806"/>
        <w:gridCol w:w="812"/>
        <w:gridCol w:w="308"/>
        <w:gridCol w:w="1077"/>
        <w:gridCol w:w="159"/>
        <w:gridCol w:w="109"/>
        <w:gridCol w:w="109"/>
        <w:gridCol w:w="109"/>
        <w:gridCol w:w="308"/>
        <w:gridCol w:w="1077"/>
        <w:gridCol w:w="159"/>
        <w:gridCol w:w="109"/>
        <w:gridCol w:w="109"/>
        <w:gridCol w:w="109"/>
        <w:gridCol w:w="211"/>
        <w:gridCol w:w="736"/>
        <w:gridCol w:w="109"/>
        <w:gridCol w:w="109"/>
        <w:gridCol w:w="109"/>
        <w:gridCol w:w="109"/>
        <w:gridCol w:w="284"/>
        <w:gridCol w:w="287"/>
        <w:gridCol w:w="346"/>
      </w:tblGrid>
      <w:t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c>
          <w:tcPr>
            <w:tcW w:w="25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53,162 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49,488 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(54,236)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(50,427)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pPr>
            <w:r>
              <w:rPr>
                <w:rFonts w:ascii="Times New Roman;serif" w:hAnsi="Times New Roman;serif"/>
                <w:b/>
                <w:color w:val="000000"/>
                <w:sz w:val="20"/>
              </w:rPr>
              <w:t xml:space="preserve">Total Adjusted EBITDA </w:t>
            </w:r>
            <w:r>
              <w:rPr>
                <w:rFonts w:ascii="Times New Roman;serif" w:hAnsi="Times New Roman;serif"/>
                <w:b/>
                <w:color w:val="000000"/>
                <w:sz w:val="10"/>
              </w:rPr>
              <w:t>(1)</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97,162</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84,688</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12,474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pPr>
            <w:r>
              <w:rPr>
                <w:rFonts w:ascii="Times New Roman;serif" w:hAnsi="Times New Roman;serif"/>
                <w:b/>
                <w:color w:val="000000"/>
                <w:sz w:val="20"/>
              </w:rPr>
              <w:t>14.7</w:t>
            </w: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ind w:left="0" w:right="0" w:hanging="360"/>
        <w:jc w:val="both"/>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Refer to “</w:t>
      </w:r>
      <w:hyperlink w:anchor="i85d8b002594243e7b51da769cf4c7d6e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 xml:space="preserve">above for a reconciliation of Adjusted EBITDA to net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U.S. segment Adjusted EBITDA increased $6.3 million, or 13.5%, primarily driven by increased operational efficiencies. The margin increase of 270 basis points to 9.6% in the first three quarters of fiscal 2026 compared to the first three quarters of fiscal 2025 was primarily driven by increased operational efficiencies across operating expenses and SG&amp;A associated with our turnaround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decreased $7.5 million, or 13.4%, with margin decline of 100 basis points to 13.3% in the first three quarters of fiscal 2026 compared to the first three quarters of fiscal 2025, due primarily to our Japan refranchising.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Development segment Adjusted EBITDA increased $17.5 million, or 54.7%, impacted by refranchising transactions in fiscal 2026. The margin decrease of 1,150 basis points to 46.9% in the first three quarters of fiscal 2026 compared to the first three quarters of fiscal 2025 was driven mainly by changes in the regional mix of increased lower-margin U.S. refranchised sales, associated with the WKS Refranchising and the Japan refranchising.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Capital Resources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to date have included cash from operating activities, cash on hand, amounts available under our credit facility, commercial trade financing including our structured payables programs, and proceeds from strategic transactions. Our primary use of liquidity is to fund the cash requirements of our business operations, including working capital needs, capital expenditures, acquisitions, and other commitments.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obligations primarily consist of our debt and lease obligations, as well as commitments under ingredient and other forward purchase contracts. As of December 28, 2025, we had the following future obligations: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An aggregate principal amount of $900.3 million outstanding under the 2023 Facility;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An aggregate principal amount of $2.5 million outstanding under short-term, uncommitted lines of credit;</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Non-cancellable future minimum operating lease payments totaling $641.6 million;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Non-cancellable future minimum finance lease payments totaling $92.8 million; and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Purchase commitments under ingredient and other forward purchase contracts of $74.0 million. </w:t>
      </w:r>
    </w:p>
    <w:p>
      <w:pPr>
        <w:pStyle w:val="TextBody"/>
        <w:bidi w:val="0"/>
        <w:spacing w:lineRule="auto" w:line="288" w:before="240" w:after="283"/>
        <w:jc w:val="both"/>
      </w:pPr>
      <w:r>
        <w:rPr>
          <w:rFonts w:ascii="Times New Roman;serif" w:hAnsi="Times New Roman;serif"/>
          <w:b w:val="false"/>
          <w:color w:val="000000"/>
          <w:sz w:val="20"/>
        </w:rPr>
        <w:t xml:space="preserve">As of September 27, 2026, the principal amount outstanding under our 2023 Facility was $813.9 million. The decrease from the 2023 Facility balance as of December 28, 2025 was primarily driven by proceeds from the refranchising transactions completed in the first quarter of fiscal 2026 which were used to pay down debt. Refer to </w:t>
      </w:r>
      <w:hyperlink w:anchor="i85d8b002594243e7b51da769cf4c7d6e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to the Condensed Consolidated Financial Statements 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$30.3 million and $42.4 million as of September 27, 2026 and December 28, 2025, respectively. We believe that our existing cash and cash equivalents and available borrowing capacity under our credit facilities discussed above will be sufficient to fund our operating and capital needs for at least the next twelve months. Our assessment of the period of time through which our financial resources will be adequate to support our operations could vary because of, and our future capital requirements will depend on, many factors, including our growth rate, the growth of our presence in new markets, and the expansion of our omni-channel model in existing markets.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line with our capital allocation priorities and growth strategy, the Company does not currently pay cash dividends to holders of the Company’s common stock.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generated cash from operations and have credit availability and capacity to fund operating and discretionary spending such as capital expenditures and debt repayments. Our requirement for working capital is not significant because our consumers pay us in cash or on debit or credit cards at the time of the sale and we are able to sell many of our inventory items before payment is due to the vendors for the various inputs to such items. The following table and discussion present, for the periods indicated, a summary of our key cash flows from operating, investing, and financing activities: </w:t>
      </w:r>
    </w:p>
    <w:tbl>
      <w:tblPr>
        <w:tblW w:w="7750" w:type="dxa"/>
        <w:jc w:val="left"/>
        <w:tblInd w:w="0" w:type="dxa"/>
        <w:tblLayout w:type="fixed"/>
        <w:tblCellMar>
          <w:top w:w="28" w:type="dxa"/>
          <w:left w:w="28" w:type="dxa"/>
          <w:bottom w:w="28" w:type="dxa"/>
          <w:right w:w="28" w:type="dxa"/>
        </w:tblCellMar>
      </w:tblPr>
      <w:tblGrid>
        <w:gridCol w:w="1552"/>
        <w:gridCol w:w="1365"/>
        <w:gridCol w:w="1372"/>
        <w:gridCol w:w="292"/>
        <w:gridCol w:w="1102"/>
        <w:gridCol w:w="150"/>
        <w:gridCol w:w="109"/>
        <w:gridCol w:w="109"/>
        <w:gridCol w:w="109"/>
        <w:gridCol w:w="289"/>
        <w:gridCol w:w="1090"/>
        <w:gridCol w:w="211"/>
      </w:tblGrid>
      <w:tr>
        <w:tc>
          <w:tcPr>
            <w:tcW w:w="15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Quarters Ended</w:t>
            </w:r>
          </w:p>
        </w:tc>
      </w:tr>
      <w:t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thousands) </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for) operating activities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for)/provided by financing activities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pPr>
      <w:r>
        <w:rPr>
          <w:rFonts w:ascii="Times New Roman;serif" w:hAnsi="Times New Roman;serif"/>
          <w:b w:val="false"/>
          <w:i/>
          <w:color w:val="000000"/>
          <w:sz w:val="20"/>
        </w:rPr>
        <w:t>Operating Activities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operations totaled $18.7 million for the first three quarters of fiscal 2026, a fluctuation of $29.8 million compared with the first three quarters of fiscal 2025, primarily due to an increase in operational efficiencies as we continue to deliver on our turnaround plan. </w:t>
      </w:r>
    </w:p>
    <w:p>
      <w:pPr>
        <w:pStyle w:val="TextBody"/>
        <w:bidi w:val="0"/>
        <w:spacing w:lineRule="auto" w:line="288" w:before="360" w:after="283"/>
        <w:jc w:val="both"/>
      </w:pPr>
      <w:r>
        <w:rPr>
          <w:rFonts w:ascii="Times New Roman;serif" w:hAnsi="Times New Roman;serif"/>
          <w:b w:val="false"/>
          <w:i/>
          <w:color w:val="000000"/>
          <w:sz w:val="20"/>
        </w:rPr>
        <w:t>Investing Activities</w:t>
      </w:r>
      <w:r>
        <w:rPr>
          <w:color w:val="000000"/>
        </w:rPr>
        <w:t xml:space="preserve"> </w:t>
      </w:r>
    </w:p>
    <w:p>
      <w:pPr>
        <w:pStyle w:val="TextBody"/>
        <w:bidi w:val="0"/>
        <w:spacing w:lineRule="auto" w:line="288" w:before="120" w:after="283"/>
        <w:jc w:val="both"/>
      </w:pPr>
      <w:r>
        <w:rPr>
          <w:rFonts w:ascii="Times New Roman;serif" w:hAnsi="Times New Roman;serif"/>
          <w:b w:val="false"/>
          <w:color w:val="000000"/>
          <w:sz w:val="20"/>
        </w:rPr>
        <w:t xml:space="preserve">Cash provided by investing activities totaled $55.9 million for the first three quarters of fiscal 2026, an increase of $52.4 million compared with the first three quarters of fiscal 2025. The cash provided by investing activities in the first three quarters of fiscal 2026 was primarily due to the refranchising transactions discussed in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to the Condensed Consolidated Financial Statements, partially offset by the settlement of the liability to KK Canada discussed in </w:t>
      </w:r>
      <w:hyperlink w:anchor="i85d8b002594243e7b51da769cf4c7d6e_88">
        <w:r>
          <w:rPr>
            <w:rStyle w:val="InternetLink"/>
            <w:rFonts w:ascii="Times New Roman;serif" w:hAnsi="Times New Roman;serif"/>
            <w:b w:val="false"/>
            <w:color w:val="0000FF"/>
            <w:sz w:val="20"/>
            <w:u w:val="single"/>
          </w:rPr>
          <w:t>Note 18</w:t>
        </w:r>
      </w:hyperlink>
      <w:r>
        <w:rPr>
          <w:rFonts w:ascii="Times New Roman;serif" w:hAnsi="Times New Roman;serif"/>
          <w:b w:val="false"/>
          <w:color w:val="000000"/>
          <w:sz w:val="20"/>
        </w:rPr>
        <w:t xml:space="preserve">, Redeemable Noncontrolling Interests, to the Condensed Consolidated Financial Statements, and cash for capital expenditures. As part of our turnaround plan, we expect to reduce capital investment by using existing assets and focusing on franchise development. </w:t>
      </w:r>
    </w:p>
    <w:p>
      <w:pPr>
        <w:pStyle w:val="TextBody"/>
        <w:bidi w:val="0"/>
        <w:spacing w:lineRule="auto" w:line="288" w:before="360" w:after="283"/>
        <w:jc w:val="both"/>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20" w:after="283"/>
        <w:jc w:val="both"/>
      </w:pPr>
      <w:r>
        <w:rPr>
          <w:rFonts w:ascii="Times New Roman;serif" w:hAnsi="Times New Roman;serif"/>
          <w:b w:val="false"/>
          <w:color w:val="000000"/>
          <w:sz w:val="20"/>
        </w:rPr>
        <w:t xml:space="preserve">Cash used for financing activities totaled $86.8 million for the first three quarters of fiscal 2026, a fluctuation of $99.2 million compared with the first three quarters of fiscal 2025, primarily driven by the repayment of long-term debt balances with a portion of the net proceeds received from the refranchising transactions discussed in </w:t>
      </w:r>
      <w:hyperlink w:anchor="i85d8b002594243e7b51da769cf4c7d6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to the Condensed Consolidated Financial Statements.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debt obligations consist of the following:</w:t>
      </w:r>
    </w:p>
    <w:tbl>
      <w:tblPr>
        <w:tblW w:w="6850" w:type="dxa"/>
        <w:jc w:val="left"/>
        <w:tblInd w:w="0" w:type="dxa"/>
        <w:tblLayout w:type="fixed"/>
        <w:tblCellMar>
          <w:top w:w="28" w:type="dxa"/>
          <w:left w:w="28" w:type="dxa"/>
          <w:bottom w:w="28" w:type="dxa"/>
          <w:right w:w="28" w:type="dxa"/>
        </w:tblCellMar>
      </w:tblPr>
      <w:tblGrid>
        <w:gridCol w:w="1242"/>
        <w:gridCol w:w="1094"/>
        <w:gridCol w:w="1098"/>
        <w:gridCol w:w="280"/>
        <w:gridCol w:w="1119"/>
        <w:gridCol w:w="145"/>
        <w:gridCol w:w="109"/>
        <w:gridCol w:w="109"/>
        <w:gridCol w:w="109"/>
        <w:gridCol w:w="270"/>
        <w:gridCol w:w="1078"/>
        <w:gridCol w:w="197"/>
      </w:tblGrid>
      <w:t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thousands)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term loan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revolving credit facility</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lines of credit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obligations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867,904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977,829</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less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809,671</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911,852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343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2023 Secured Credit Facility</w:t>
      </w:r>
    </w:p>
    <w:p>
      <w:pPr>
        <w:pStyle w:val="TextBody"/>
        <w:bidi w:val="0"/>
        <w:spacing w:lineRule="auto" w:line="288" w:before="120" w:after="283"/>
        <w:jc w:val="both"/>
      </w:pPr>
      <w:r>
        <w:rPr>
          <w:rFonts w:ascii="Times New Roman;serif" w:hAnsi="Times New Roman;serif"/>
          <w:b w:val="false"/>
          <w:color w:val="000000"/>
          <w:sz w:val="20"/>
        </w:rPr>
        <w:t xml:space="preserve">As of September 27, 2026, the 2023 Facility consisted of a $300.0 million senior secured revolving credit facility and a term loan with an original principal amount of $700.0 million. During the second quarter of fiscal 2025, the Company amended the 2023 Facility to, among other things, establish additional, incremental term loan commitments in an aggregate principal amount of $125.0 million. Refer to </w:t>
      </w:r>
      <w:hyperlink w:anchor="i85d8b002594243e7b51da769cf4c7d6e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to the Condensed Consolidated Financial Statements 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2023 Facility, we are subject to a requirement to maintain a leverage ratio of less than 5.00 to 1.00 as of the end of each quarterly Test Period (as defined in the 2023 Facility) through maturity in March 2028. The leverage ratio under the 2023 Facility is defined as the ratio of (a) Total Indebtedness (as defined in the 2023 Facility, which includes all debt and finance lease obligations) minus unrestricted cash and cash equivalents to (b) a defined calculation of Adjusted EBITDA (2023 Facility Adjusted EBITDA) for the most recently ended Test Period. Our leverage ratio was 4.2 to 1.00 as of the end of the third quarter of fiscal 2026 compared to 4.4 to 1.00 as of the end of fiscal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related to the 2023 Facility as of September 27, 2026. If we are unable to meet the 2023 Facility financial or other covenants in future periods, it could limit our ability to draw on the revolving credit facility, could result in the lenders accelerating the maturity of such indebtedness and foreclosing upon the collateral pledged thereunder, and could require the replacement of the 2023 Facility with new sources of financing, which we may be unable to secure on favorable terms or at all, any of which could negatively impact our liquidity.</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Short-Term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two agreements with existing lenders providing for short-term, uncommitted lines of credit up to an aggregate of $25.0 million. Borrowings under these short-term lines of credit are payable to the lenders on a revolving basis for tenors up to three months and are subject to an interest rate of adjusted term SOFR plus a credit spread adjustment of 0.10% plus a margin of 1.75%.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pPr>
      <w:r>
        <w:rPr>
          <w:rFonts w:ascii="Times New Roman;serif" w:hAnsi="Times New Roman;serif"/>
          <w:b/>
          <w:color w:val="006938"/>
          <w:sz w:val="20"/>
        </w:rPr>
        <w:t>Critical Accounting Policies and Estimates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Form 10-Q have been prepared in conformity with GAAP. The preparation of the Condensed Consolidated Financial Statements requires the use of judgments, estimates, and assumptions that affect the reported amounts of assets, liabilities, revenues, and expenses as well as related disclosures. We consider an accounting judgment, estimate, or assumption to be critical when (1) the estimate or assumption is complex in nature or requires a high degree of judgment and (2) the use of different judgments, estimates, and assumptions could have a material impact on our Condensed Consolidated Financial Statements. Actual results could differ from the estimates made by management.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described in “Management’s Discussion and Analysis of Financial Condition and Results of Operations” set forth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pPr>
      <w:r>
        <w:rPr>
          <w:rFonts w:ascii="Times New Roman;serif" w:hAnsi="Times New Roman;serif"/>
          <w:b/>
          <w:color w:val="006938"/>
          <w:sz w:val="20"/>
        </w:rPr>
        <w:t>New Accounting Pronouncements</w:t>
      </w:r>
      <w:r>
        <w:rPr>
          <w:color w:val="000000"/>
        </w:rPr>
        <w:t xml:space="preserve"> </w:t>
      </w:r>
    </w:p>
    <w:p>
      <w:pPr>
        <w:pStyle w:val="TextBody"/>
        <w:bidi w:val="0"/>
        <w:spacing w:lineRule="auto" w:line="288" w:before="120" w:after="283"/>
        <w:jc w:val="both"/>
      </w:pPr>
      <w:r>
        <w:rPr>
          <w:rFonts w:ascii="Times New Roman;serif" w:hAnsi="Times New Roman;serif"/>
          <w:b w:val="false"/>
          <w:color w:val="000000"/>
          <w:sz w:val="20"/>
        </w:rPr>
        <w:t xml:space="preserve">Refer to </w:t>
      </w:r>
      <w:hyperlink w:anchor="i85d8b002594243e7b51da769cf4c7d6e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Description of Business and Summary of Significant Accounting Policies to the Condensed Consolidated Financial Statements for a detailed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pPr>
      <w:r>
        <w:rPr>
          <w:rFonts w:ascii="Times New Roman;serif" w:hAnsi="Times New Roman;serif"/>
          <w:b/>
          <w:color w:val="006938"/>
          <w:sz w:val="20"/>
        </w:rPr>
        <w:t>Item 3. Quantitative and Qualitative Disclosures About Market Risk</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Effects of Changing Prices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the effects of commodity price fluctuations in the cost of ingredients of our products, of which flour, sugar, and shortening are the most significant. In order to secure adequate supplies of products and bring greater stability to the cost of ingredients, the Company routinely enters into forward purchase contracts with vendors to help manage exposure to commodity price fluctuations. These forward purchase contracts are for physical delivery in quantities expected to be used over a reasonable period in the normal course of business. These agreements often meet the definition of a derivative. However, the Company does not measure its forward purchase commitments at fair value as the amounts under contract meet the physical delivery criteria in the normal purchase exception under ASC 815, Derivatives and Hedging. Accordingly, such contracts are not accounted for as derivatives and are not measured at fair value. These costs are subject to fluctuations due to a number of factors, including, but not limited to, market conditions, economic and geopolitical uncertainty, demand for raw materials, weather, energy costs, currency fluctuations, supplier capacities, governmental actions, import and export requirements (including tariffs), armed hostilities, and other factors beyond our control. During the first three quarters of fiscal 2026, we continued to experience headwinds from commodity inflation globally. We have undertaken efforts to effectively manage inflationary cost increases through rapid inventory turnover and reduced inventory waste, and increased focus on resiliency of our supply chains. Additionally, from time to time we may enter into forward contracts for supply through our vendors for raw materials which are ingredients of our products or which are components of such ingredients, including wheat, sugar, and vegetable oil.</w:t>
      </w:r>
    </w:p>
    <w:p>
      <w:pPr>
        <w:pStyle w:val="TextBody"/>
        <w:bidi w:val="0"/>
        <w:spacing w:before="0" w:after="0"/>
        <w:jc w:val="both"/>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to the effects of commodity price fluctuations in the cost of gasoline used by our 3PL carriers in the U.S. To mitigate the risk of fluctuations in the price of our fuel purchases, we may directly purchase commodity futures contracts.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interest rates on any borrowings under our debt facilities, which bear interest based on the one-month SOFR (with a floor of zero). Generally, interest rate changes could impact the amount of our interest paid and, therefore, our future earnings and cash flows, assuming other factors are held constant. To mitigate the impact of changes in SOFR on interest expense for a portion of our variable rate debt, we have entered into interest rate swaps on $550.0 million notional of our $816.2 million of outstanding debt under the 2023 Facility and short-term lines of credit as of September 27, 2026, which we account for as cash flow hedges. The interest rate swap agreements are scheduled to mature in March 2028. Based on the $266.2 million of unhedged outstanding debt as of September 27, 2026, a 100 basis point increase or decrease in the one-month SOFR would result in a $2.7 million increase or decrease, respectively, in interest expense for a 12-month period, based on the daily average of the one-month SOFR for the quarter ended September 27, 2026.</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Exchange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on the operations of our subsidiaries that have functional currencies other than the U.S. dollar, whose revenues accounted for approximately 36% of our total net revenues during the first three quarters ended September 27, 2026. Approximately $366.1 million of these revenues, were attributable to subsidiaries whose functional currencies are the Canadian dollar, the British pound sterling, the Euro, the Australian dollar, the New Zealand dollar, and the Mexican peso. A 10% increase or decrease in the average exchange rate of these currencies against the U.S. dollar would have resulted in a decrease or increase, respectively, of approximately $36.6 million in our total net revenues for the three quarters ended September 27,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engage in foreign currency exchange and credit transactions with our non-U.S. subsidiaries, which we typically hedge. To date, the impact of such transactions, including the cost of hedging, has not been material. We do not engage in foreign currency or hedging transactions for speculative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promulgated under the Securities Exchange Act of 1934, as amended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27, 2026, we completed an evaluation, under the supervision and with the participation of our management, including our CEO and CFO, of the effectiveness of the design and operation of our disclosure controls and procedures. Based on this evaluation, our CEO and CFO concluded that our disclosure controls and procedures were effective as of the end of the period covered by this Form 10-Q.</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during the fiscal quarter ended September 27, 2026 in our internal control over financial reporting (as defined in Rule 13a-15(f)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6938"/>
          <w:sz w:val="22"/>
        </w:rPr>
      </w:pPr>
      <w:r>
        <w:rPr>
          <w:rFonts w:ascii="Times New Roman;serif" w:hAnsi="Times New Roman;serif"/>
          <w:b/>
          <w:color w:val="006938"/>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 xml:space="preserve">Item 1. Legal Proceedings </w:t>
      </w:r>
    </w:p>
    <w:p>
      <w:pPr>
        <w:pStyle w:val="TextBody"/>
        <w:bidi w:val="0"/>
        <w:spacing w:lineRule="auto" w:line="288" w:before="120" w:after="283"/>
        <w:jc w:val="both"/>
      </w:pPr>
      <w:r>
        <w:rPr>
          <w:rFonts w:ascii="Times New Roman;serif" w:hAnsi="Times New Roman;serif"/>
          <w:b w:val="false"/>
          <w:color w:val="000000"/>
          <w:sz w:val="20"/>
        </w:rPr>
        <w:t xml:space="preserve">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 Some of these matters may involve claims of substantial amounts. These legal proceedings may be subject to many uncertainties and there can be no assurance of the outcome of any individual proceedings. Refer to </w:t>
      </w:r>
      <w:hyperlink w:anchor="i85d8b002594243e7b51da769cf4c7d6e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to the Condensed Consolidated Financial Statements included in Item 1 of Part I of this Form 10-Q for more information regarding certain pending legal proceedings, which is incorporated by reference into this Item 1 of Part II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pPr>
      <w:r>
        <w:rPr>
          <w:rFonts w:ascii="Times New Roman;serif" w:hAnsi="Times New Roman;serif"/>
          <w:b/>
          <w:color w:val="006938"/>
          <w:sz w:val="20"/>
        </w:rPr>
        <w:t>Item 1A. Risk Factors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“Risk Factors” in Item 1A of Part I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Item 2. Unregistered Sales of Equity Securities and 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6938"/>
          <w:sz w:val="20"/>
        </w:rPr>
      </w:pPr>
      <w:r>
        <w:rPr>
          <w:rFonts w:ascii="Times New Roman;serif" w:hAnsi="Times New Roman;serif"/>
          <w:b/>
          <w:color w:val="006938"/>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4"/>
        <w:gridCol w:w="223"/>
        <w:gridCol w:w="225"/>
        <w:gridCol w:w="109"/>
        <w:gridCol w:w="109"/>
        <w:gridCol w:w="109"/>
        <w:gridCol w:w="2935"/>
        <w:gridCol w:w="2572"/>
        <w:gridCol w:w="3669"/>
      </w:tblGrid>
      <w:t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r>
      <w:tr>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6" w:type="dxa"/>
            <w:gridSpan w:val="3"/>
            <w:tcBorders/>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exh311-302certificationceo.htm">
              <w:r>
                <w:rPr>
                  <w:rStyle w:val="InternetLink"/>
                  <w:rFonts w:ascii="Times New Roman;serif" w:hAnsi="Times New Roman;serif"/>
                  <w:b w:val="false"/>
                  <w:color w:val="0000FF"/>
                  <w:sz w:val="20"/>
                  <w:u w:val="single"/>
                </w:rPr>
                <w:t>Certification of Chief Executive Officer of Krispy Kreme, Inc. pursuant to Rule 13a-14(a) or 15d-14(a) promulgated under the Exchange Act.</w:t>
              </w:r>
            </w:hyperlink>
          </w:p>
        </w:tc>
      </w:tr>
      <w:t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exh312-302certificationcfo.htm">
              <w:r>
                <w:rPr>
                  <w:rStyle w:val="InternetLink"/>
                  <w:rFonts w:ascii="Times New Roman;serif" w:hAnsi="Times New Roman;serif"/>
                  <w:b w:val="false"/>
                  <w:color w:val="0000FF"/>
                  <w:sz w:val="20"/>
                  <w:u w:val="single"/>
                </w:rPr>
                <w:t>Certification of Chief Financial Officer of Krispy Kreme, Inc. pursuant to Rule 13a-14(a) or 15d-14(a) promulgated under the Exchange Act.</w:t>
              </w:r>
            </w:hyperlink>
          </w:p>
        </w:tc>
      </w:tr>
      <w:t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both"/>
            </w:pPr>
            <w:hyperlink w:anchor="exh32-906certificationq320.htm">
              <w:r>
                <w:rPr>
                  <w:rStyle w:val="InternetLink"/>
                  <w:rFonts w:ascii="Times New Roman;serif" w:hAnsi="Times New Roman;serif"/>
                  <w:b w:val="false"/>
                  <w:color w:val="0000FF"/>
                  <w:sz w:val="20"/>
                  <w:u w:val="single"/>
                </w:rPr>
                <w:t>Certifications of Chief Executive Officer and Chief Financial Officer of Krispy Kreme, Inc. pursuant to Rule 13a-14(b) or 15d-14(b) promulgated under the Exchange Act, and Section 1350 of Chapter 63 of Title 18 of the United States Code.</w:t>
              </w:r>
            </w:hyperlink>
          </w:p>
        </w:tc>
      </w:tr>
      <w:t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Form 10-Q for the quarter ended September 27, 2026, formatted in Inline XBRL: (i) Condensed Consolidated Statements of Operations, (ii) Condensed Consolidated Statements of Comprehensive (Loss)/Income, (iii) Condensed Consolidated Balance Sheets, (iv) Condensed Consolidated Statements of Changes in Shareholders’ Equity, (v) Condensed Consolidated Statements of Cash Flows, and (vi) Notes to Condensed Consolidated Financial Statements.</w:t>
            </w:r>
          </w:p>
        </w:tc>
      </w:tr>
      <w:t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pPr>
      <w:hyperlink w:anchor="i85d8b002594243e7b51da769cf4c7d6e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205" w:type="dxa"/>
        <w:jc w:val="left"/>
        <w:tblInd w:w="0" w:type="dxa"/>
        <w:tblLayout w:type="fixed"/>
        <w:tblCellMar>
          <w:top w:w="28" w:type="dxa"/>
          <w:left w:w="28" w:type="dxa"/>
          <w:bottom w:w="28" w:type="dxa"/>
          <w:right w:w="28" w:type="dxa"/>
        </w:tblCellMar>
      </w:tblPr>
      <w:tblGrid>
        <w:gridCol w:w="200"/>
        <w:gridCol w:w="177"/>
        <w:gridCol w:w="178"/>
        <w:gridCol w:w="483"/>
        <w:gridCol w:w="483"/>
        <w:gridCol w:w="684"/>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r>
    </w:tbl>
    <w:tbl>
      <w:tblPr>
        <w:tblW w:w="5562" w:type="dxa"/>
        <w:jc w:val="right"/>
        <w:tblInd w:w="0" w:type="dxa"/>
        <w:tblLayout w:type="fixed"/>
        <w:tblCellMar>
          <w:top w:w="28" w:type="dxa"/>
          <w:left w:w="28" w:type="dxa"/>
          <w:bottom w:w="28" w:type="dxa"/>
          <w:right w:w="28" w:type="dxa"/>
        </w:tblCellMar>
      </w:tblPr>
      <w:tblGrid>
        <w:gridCol w:w="287"/>
        <w:gridCol w:w="253"/>
        <w:gridCol w:w="253"/>
        <w:gridCol w:w="1384"/>
        <w:gridCol w:w="1384"/>
        <w:gridCol w:w="2001"/>
      </w:tblGrid>
      <w:t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c>
          <w:tcPr>
            <w:tcW w:w="5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Krispy Kreme, Inc.</w:t>
            </w:r>
          </w:p>
        </w:tc>
      </w:tr>
      <w:t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Raphael Duvivier</w:t>
            </w:r>
          </w:p>
        </w:tc>
      </w:tr>
      <w:t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Raphael Duvivier</w:t>
            </w:r>
          </w:p>
        </w:tc>
      </w:tr>
      <w:t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31.1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Josh Charlesworth, certify that:</w:t>
      </w:r>
    </w:p>
    <w:p>
      <w:pPr>
        <w:pStyle w:val="TextBody"/>
        <w:bidi w:val="0"/>
        <w:spacing w:before="0" w:after="0"/>
        <w:jc w:val="left"/>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September 27, 2026, of Krispy Kreme, Inc.;</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pPr>
      <w:r/>
    </w:p>
    <w:p>
      <w:pPr>
        <w:pStyle w:val="TextBody"/>
        <w:bidi w:val="0"/>
        <w:spacing w:lineRule="auto" w:line="268" w:before="0" w:after="0"/>
        <w:ind w:left="0" w:right="0" w:hanging="360"/>
        <w:jc w:val="both"/>
      </w:pPr>
      <w:r>
        <w:rPr>
          <w:rFonts w:ascii="Times New Roman;serif" w:hAnsi="Times New Roman;serif"/>
          <w:b w:val="false"/>
          <w:color w:val="000000"/>
          <w:sz w:val="20"/>
        </w:rPr>
        <w:t>a.All significant defic</w:t>
      </w:r>
      <w:r>
        <w:rPr>
          <w:rFonts w:ascii="Times New Roman;serif" w:hAnsi="Times New Roman;serif"/>
          <w:b w:val="false"/>
          <w:color w:val="000000"/>
          <w:sz w:val="20"/>
          <w:shd w:fill="FFFFFF" w:val="clear"/>
        </w:rPr>
        <w:t>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972"/>
        <w:jc w:val="both"/>
      </w:pPr>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Josh Charlesworth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Josh Charlesworth</w:t>
      </w:r>
    </w:p>
    <w:p>
      <w:pPr>
        <w:pStyle w:val="TextBody"/>
        <w:bidi w:val="0"/>
        <w:spacing w:lineRule="auto" w:line="27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Chief Executive Officer</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31.2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Raphael Duvivier, certify that:</w:t>
      </w:r>
    </w:p>
    <w:p>
      <w:pPr>
        <w:pStyle w:val="TextBody"/>
        <w:bidi w:val="0"/>
        <w:spacing w:before="0" w:after="0"/>
        <w:jc w:val="left"/>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September 27, 2026, of Krispy Kreme, Inc.;</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pPr>
      <w:r/>
    </w:p>
    <w:p>
      <w:pPr>
        <w:pStyle w:val="TextBody"/>
        <w:bidi w:val="0"/>
        <w:spacing w:lineRule="auto" w:line="26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972"/>
        <w:jc w:val="both"/>
      </w:pPr>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Raphael Duvivier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Raphael Duvivier</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32.1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Krispy Kreme, Inc. (the “Company”), for the quarterly period ended September 27, 2026, as filed with the Securities and Exchange Commission on the date hereof (the “Report”), each of the undersigned officers of the Company certifies pursuant to 18 U.S.C. Section 1350, as adopted pursuant to Section 906 of the Sarbanes-Oxley Act of 2002, that:</w:t>
      </w:r>
    </w:p>
    <w:p>
      <w:pPr>
        <w:pStyle w:val="TextBody"/>
        <w:bidi w:val="0"/>
        <w:spacing w:before="0" w:after="0"/>
        <w:jc w:val="left"/>
      </w:p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268" w:before="0" w:after="0"/>
        <w:ind w:left="0" w:right="0" w:hanging="360"/>
        <w:jc w:val="left"/>
      </w:pPr>
      <w:r>
        <w:rPr>
          <w:rFonts w:ascii="Times New Roman;serif" w:hAnsi="Times New Roman;serif"/>
          <w:b w:val="false"/>
          <w:color w:val="000000"/>
          <w:sz w:val="20"/>
        </w:rPr>
        <w:t>2.The information contained in the Report fairly presents, in all material respects, the financial condition and results of opera</w:t>
      </w:r>
      <w:r>
        <w:rPr>
          <w:rFonts w:ascii="Times New Roman;serif" w:hAnsi="Times New Roman;serif"/>
          <w:b w:val="false"/>
          <w:color w:val="000000"/>
          <w:sz w:val="20"/>
          <w:shd w:fill="FFFFFF" w:val="clear"/>
        </w:rPr>
        <w:t>tions of the Company.</w:t>
      </w:r>
    </w:p>
    <w:p>
      <w:pPr>
        <w:pStyle w:val="TextBody"/>
        <w:bidi w:val="0"/>
        <w:spacing w:before="0" w:after="0"/>
        <w:jc w:val="left"/>
      </w:pPr>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Josh Charlesworth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Josh Charlesworth</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before="0" w:after="0"/>
        <w:jc w:val="left"/>
      </w:pPr>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Raphael Duvivier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Raphael Duvivier</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26280</Words>
  <Characters>150135</Characters>
  <CharactersWithSpaces>174403</CharactersWithSpaces>
  <Paragraphs>4272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