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8848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848090"/>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280" w:space="44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JAB Holdings B.V.</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PIET HEINKADE 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Krispy Kreme,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DNUT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1" w:right="780" w:firstLine="1"/>
        <w:spacing w:after="0" w:line="27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3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1" w:lineRule="exact"/>
        <w:rPr>
          <w:sz w:val="24"/>
          <w:szCs w:val="24"/>
          <w:color w:val="auto"/>
        </w:rPr>
      </w:pPr>
    </w:p>
    <w:p>
      <w:pPr>
        <w:sectPr>
          <w:pgSz w:w="11900" w:h="16838" w:orient="portrait"/>
          <w:cols w:equalWidth="0" w:num="3">
            <w:col w:w="3180" w:space="720"/>
            <w:col w:w="3101" w:space="720"/>
            <w:col w:w="3359"/>
          </w:cols>
          <w:pgMar w:left="460" w:top="212" w:right="359" w:bottom="0" w:gutter="0" w:footer="0" w:header="0"/>
          <w:type w:val="continuous"/>
        </w:sectPr>
      </w:pP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8"/>
          </w:tcPr>
          <w:p>
            <w:pPr>
              <w:ind w:left="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AMSTERDAM</w:t>
            </w:r>
          </w:p>
        </w:tc>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N4</w:t>
            </w: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1019 GM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2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92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38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gridSpan w:val="3"/>
          </w:tcPr>
          <w:p>
            <w:pPr>
              <w:ind w:left="920"/>
              <w:spacing w:after="0" w:line="123"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gridSpan w:val="4"/>
          </w:tcPr>
          <w:p>
            <w:pPr>
              <w:ind w:left="9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Beneficially Owned  (D) or Indirect</w:t>
            </w:r>
          </w:p>
        </w:tc>
        <w:tc>
          <w:tcPr>
            <w:tcW w:w="9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30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7"/>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8"/>
              </w:rPr>
              <w:t>(Instr. 3 and 4)</w:t>
            </w: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4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74,190,990</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0000FF"/>
              </w:rPr>
              <w:t>See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gridSpan w:val="8"/>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0" w:type="dxa"/>
            <w:vAlign w:val="bottom"/>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4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4"/>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6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0"/>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J/K</w:t>
            </w:r>
            <w:r>
              <w:rPr>
                <w:rFonts w:ascii="Times New Roman" w:cs="Times New Roman" w:eastAsia="Times New Roman" w:hAnsi="Times New Roman"/>
                <w:sz w:val="10"/>
                <w:szCs w:val="10"/>
                <w:color w:val="008000"/>
              </w:rPr>
              <w:t>(2)(3)</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7,069,936</w:t>
            </w:r>
            <w:r>
              <w:rPr>
                <w:rFonts w:ascii="Times New Roman" w:cs="Times New Roman" w:eastAsia="Times New Roman" w:hAnsi="Times New Roman"/>
                <w:sz w:val="20"/>
                <w:szCs w:val="20"/>
                <w:color w:val="008000"/>
                <w:vertAlign w:val="superscript"/>
              </w:rPr>
              <w:t>(2)(3)</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7,069,936</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24"/>
                <w:szCs w:val="24"/>
                <w:color w:val="0000FF"/>
                <w:w w:val="85"/>
                <w:vertAlign w:val="subscript"/>
              </w:rPr>
              <w:t>D</w:t>
            </w:r>
            <w:r>
              <w:rPr>
                <w:rFonts w:ascii="Times New Roman" w:cs="Times New Roman" w:eastAsia="Times New Roman" w:hAnsi="Times New Roman"/>
                <w:sz w:val="10"/>
                <w:szCs w:val="10"/>
                <w:color w:val="008000"/>
                <w:w w:val="85"/>
              </w:rPr>
              <w:t>(4)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Total</w:t>
            </w:r>
          </w:p>
        </w:tc>
        <w:tc>
          <w:tcPr>
            <w:tcW w:w="68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(2)(3)</w:t>
            </w:r>
          </w:p>
        </w:tc>
        <w:tc>
          <w:tcPr>
            <w:tcW w:w="1100" w:type="dxa"/>
            <w:vAlign w:val="bottom"/>
            <w:gridSpan w:val="4"/>
          </w:tcPr>
          <w:p>
            <w:pPr>
              <w:ind w:left="300"/>
              <w:spacing w:after="0"/>
              <w:rPr>
                <w:sz w:val="20"/>
                <w:szCs w:val="20"/>
                <w:color w:val="auto"/>
              </w:rPr>
            </w:pPr>
            <w:r>
              <w:rPr>
                <w:rFonts w:ascii="Times New Roman" w:cs="Times New Roman" w:eastAsia="Times New Roman" w:hAnsi="Times New Roman"/>
                <w:sz w:val="12"/>
                <w:szCs w:val="12"/>
                <w:color w:val="0000FF"/>
              </w:rPr>
              <w:t>06/12/2026</w:t>
            </w:r>
          </w:p>
        </w:tc>
        <w:tc>
          <w:tcPr>
            <w:tcW w:w="10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(2)(3)</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(2)(3)</w:t>
            </w:r>
          </w:p>
        </w:tc>
        <w:tc>
          <w:tcPr>
            <w:tcW w:w="5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(2)(3)</w:t>
            </w: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7,069,936</w:t>
            </w: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24"/>
                <w:szCs w:val="24"/>
                <w:color w:val="0000FF"/>
                <w:w w:val="95"/>
                <w:vertAlign w:val="subscript"/>
              </w:rPr>
              <w:t>Swap</w:t>
            </w:r>
            <w:r>
              <w:rPr>
                <w:rFonts w:ascii="Times New Roman" w:cs="Times New Roman" w:eastAsia="Times New Roman" w:hAnsi="Times New Roman"/>
                <w:sz w:val="10"/>
                <w:szCs w:val="10"/>
                <w:color w:val="008000"/>
                <w:w w:val="95"/>
              </w:rPr>
              <w:t>(2)(3)</w:t>
            </w:r>
          </w:p>
        </w:tc>
        <w:tc>
          <w:tcPr>
            <w:tcW w:w="6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2420" w:type="dxa"/>
            <w:vAlign w:val="bottom"/>
            <w:tcBorders>
              <w:top w:val="single" w:sz="8" w:color="2C2C2C"/>
            </w:tcBorders>
            <w:gridSpan w:val="7"/>
          </w:tcPr>
          <w:p>
            <w:pPr>
              <w:ind w:left="60"/>
              <w:spacing w:after="0" w:line="21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0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JAB Holdings B.V.</w:t>
              </w:r>
            </w:hyperlink>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color w:val="auto"/>
              </w:rPr>
              <w:t>(First)</w:t>
            </w:r>
          </w:p>
        </w:tc>
        <w:tc>
          <w:tcPr>
            <w:tcW w:w="1020" w:type="dxa"/>
            <w:vAlign w:val="bottom"/>
          </w:tcPr>
          <w:p>
            <w:pPr>
              <w:ind w:left="4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PIET HEINKADE 55</w:t>
            </w: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AMSTERDAM</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N4</w:t>
            </w: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1019 GM</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color w:val="auto"/>
              </w:rPr>
              <w:t>(State)</w:t>
            </w:r>
          </w:p>
        </w:tc>
        <w:tc>
          <w:tcPr>
            <w:tcW w:w="1020" w:type="dxa"/>
            <w:vAlign w:val="bottom"/>
          </w:tcPr>
          <w:p>
            <w:pPr>
              <w:ind w:left="48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09"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JAB Investments S.a r.l.</w:t>
              </w:r>
            </w:hyperlink>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color w:val="auto"/>
              </w:rPr>
              <w:t>(First)</w:t>
            </w:r>
          </w:p>
        </w:tc>
        <w:tc>
          <w:tcPr>
            <w:tcW w:w="1020" w:type="dxa"/>
            <w:vAlign w:val="bottom"/>
          </w:tcPr>
          <w:p>
            <w:pPr>
              <w:ind w:left="4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4, RUE JEAN MONNET</w:t>
            </w: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LUXEMBOURG</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N4</w:t>
            </w: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L-2180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color w:val="auto"/>
              </w:rPr>
              <w:t>(State)</w:t>
            </w:r>
          </w:p>
        </w:tc>
        <w:tc>
          <w:tcPr>
            <w:tcW w:w="1020" w:type="dxa"/>
            <w:vAlign w:val="bottom"/>
          </w:tcPr>
          <w:p>
            <w:pPr>
              <w:ind w:left="48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09"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JAB Holding Co s.a r.l.</w:t>
              </w:r>
            </w:hyperlink>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00" w:type="dxa"/>
            <w:vAlign w:val="bottom"/>
            <w:gridSpan w:val="4"/>
          </w:tcPr>
          <w:p>
            <w:pPr>
              <w:ind w:left="160"/>
              <w:spacing w:after="0"/>
              <w:rPr>
                <w:sz w:val="20"/>
                <w:szCs w:val="20"/>
                <w:color w:val="auto"/>
              </w:rPr>
            </w:pPr>
            <w:r>
              <w:rPr>
                <w:rFonts w:ascii="Arial" w:cs="Arial" w:eastAsia="Arial" w:hAnsi="Arial"/>
                <w:sz w:val="12"/>
                <w:szCs w:val="12"/>
                <w:color w:val="auto"/>
              </w:rPr>
              <w:t>(First)</w:t>
            </w:r>
          </w:p>
        </w:tc>
        <w:tc>
          <w:tcPr>
            <w:tcW w:w="1020" w:type="dxa"/>
            <w:vAlign w:val="bottom"/>
          </w:tcPr>
          <w:p>
            <w:pPr>
              <w:ind w:left="4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-5344795</wp:posOffset>
            </wp:positionV>
            <wp:extent cx="28575" cy="1714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575" cy="1714500"/>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 RUE JEAN MONNET</w:t>
      </w:r>
    </w:p>
    <w:p>
      <w:pPr>
        <w:spacing w:after="0" w:line="319"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2" w:right="359" w:bottom="0" w:gutter="0" w:footer="0" w:header="0"/>
          <w:type w:val="continuous"/>
        </w:sectPr>
      </w:pPr>
    </w:p>
    <w:p>
      <w:pPr>
        <w:spacing w:after="0" w:line="33"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LUXEMBOURG</w:t>
      </w:r>
      <w:r>
        <w:rPr>
          <w:sz w:val="20"/>
          <w:szCs w:val="20"/>
          <w:color w:val="auto"/>
        </w:rPr>
        <w:tab/>
      </w:r>
      <w:r>
        <w:rPr>
          <w:rFonts w:ascii="Times New Roman" w:cs="Times New Roman" w:eastAsia="Times New Roman" w:hAnsi="Times New Roman"/>
          <w:sz w:val="16"/>
          <w:szCs w:val="16"/>
          <w:color w:val="0000FF"/>
        </w:rPr>
        <w:t>N4</w:t>
      </w:r>
      <w:r>
        <w:rPr>
          <w:sz w:val="20"/>
          <w:szCs w:val="20"/>
          <w:color w:val="auto"/>
        </w:rPr>
        <w:tab/>
      </w:r>
      <w:r>
        <w:rPr>
          <w:rFonts w:ascii="Times New Roman" w:cs="Times New Roman" w:eastAsia="Times New Roman" w:hAnsi="Times New Roman"/>
          <w:sz w:val="15"/>
          <w:szCs w:val="15"/>
          <w:color w:val="0000FF"/>
        </w:rPr>
        <w:t>L-2180</w:t>
      </w:r>
    </w:p>
    <w:p>
      <w:pPr>
        <w:sectPr>
          <w:pgSz w:w="11900" w:h="16838" w:orient="portrait"/>
          <w:cols w:equalWidth="0" w:num="1">
            <w:col w:w="11080"/>
          </w:cols>
          <w:pgMar w:left="460" w:top="212"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8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6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60" w:type="dxa"/>
            <w:vAlign w:val="bottom"/>
            <w:gridSpan w:val="5"/>
          </w:tcPr>
          <w:p>
            <w:pPr>
              <w:spacing w:after="0" w:line="209"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Joh. A. Benckiser s.a.r.l.</w:t>
              </w:r>
            </w:hyperlink>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(Last)</w:t>
            </w:r>
          </w:p>
        </w:tc>
        <w:tc>
          <w:tcPr>
            <w:tcW w:w="1160" w:type="dxa"/>
            <w:vAlign w:val="bottom"/>
            <w:gridSpan w:val="2"/>
          </w:tcPr>
          <w:p>
            <w:pPr>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PIET HEINKADE 55</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AMSTERDAM</w:t>
            </w: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P7</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1019 GM</w:t>
            </w:r>
          </w:p>
        </w:tc>
      </w:tr>
      <w:tr>
        <w:trPr>
          <w:trHeight w:val="140"/>
        </w:trPr>
        <w:tc>
          <w:tcPr>
            <w:tcW w:w="8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6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1400" w:type="dxa"/>
            <w:vAlign w:val="bottom"/>
            <w:gridSpan w:val="3"/>
          </w:tcPr>
          <w:p>
            <w:pPr>
              <w:spacing w:after="0" w:line="209"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Agnaten SE</w:t>
              </w:r>
            </w:hyperlink>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(Last)</w:t>
            </w:r>
          </w:p>
        </w:tc>
        <w:tc>
          <w:tcPr>
            <w:tcW w:w="1160" w:type="dxa"/>
            <w:vAlign w:val="bottom"/>
            <w:gridSpan w:val="2"/>
          </w:tcPr>
          <w:p>
            <w:pPr>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 RUE JEAN MONNET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LUXEMBOURG</w:t>
            </w: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N4</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L-2180</w:t>
            </w:r>
          </w:p>
        </w:tc>
      </w:tr>
      <w:tr>
        <w:trPr>
          <w:trHeight w:val="140"/>
        </w:trPr>
        <w:tc>
          <w:tcPr>
            <w:tcW w:w="8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6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1400" w:type="dxa"/>
            <w:vAlign w:val="bottom"/>
            <w:gridSpan w:val="3"/>
          </w:tcPr>
          <w:p>
            <w:pPr>
              <w:spacing w:after="0" w:line="209"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Lucresca SE</w:t>
              </w:r>
            </w:hyperlink>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(Last)</w:t>
            </w:r>
          </w:p>
        </w:tc>
        <w:tc>
          <w:tcPr>
            <w:tcW w:w="1160" w:type="dxa"/>
            <w:vAlign w:val="bottom"/>
            <w:gridSpan w:val="2"/>
          </w:tcPr>
          <w:p>
            <w:pPr>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 RUE JEAN MONNET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LUXEMBOURG</w:t>
            </w: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N4</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L-2180</w:t>
            </w:r>
          </w:p>
        </w:tc>
      </w:tr>
      <w:tr>
        <w:trPr>
          <w:trHeight w:val="140"/>
        </w:trPr>
        <w:tc>
          <w:tcPr>
            <w:tcW w:w="8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-4647565</wp:posOffset>
            </wp:positionV>
            <wp:extent cx="2812415" cy="4722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12415" cy="472249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40" w:hanging="5"/>
        <w:spacing w:after="0" w:line="25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(the "Shares") of common stock, par value $0.01 per share (the "Common Stock"), of Krispy Kreme, Inc. (the "Company") are held and beneficially owned by JAB Indulgence B.V., a direct or indirect subsidiary of each Reporting Person herein. As such, each Reporting Person herein may be deemed a beneficial owner of Shares held by JAB Indulgence B.V. Each such Reporting Person disclaims beneficial ownership of such Shares, except to the extent of its pecuniary interests therein.</w:t>
      </w:r>
    </w:p>
    <w:p>
      <w:pPr>
        <w:spacing w:after="0" w:line="18" w:lineRule="exact"/>
        <w:rPr>
          <w:rFonts w:ascii="Times New Roman" w:cs="Times New Roman" w:eastAsia="Times New Roman" w:hAnsi="Times New Roman"/>
          <w:sz w:val="12"/>
          <w:szCs w:val="12"/>
          <w:color w:val="008000"/>
        </w:rPr>
      </w:pPr>
    </w:p>
    <w:p>
      <w:pPr>
        <w:ind w:left="20" w:right="40" w:hanging="5"/>
        <w:spacing w:after="0" w:line="252"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disclosed, JAB Holdings B.V. entered into a long cash-settled total return equity swap on August 11, 2023 (the "Long Swap") with HSBC Continental Europe (the "Dealer") providing for the establishment of long exposure with respect to a notional amount of up to the number of Shares purchased by the Dealer with an aggregate initial price not to exceed $100,000,000 (the "Subject Shares") that provide JAB Holdings B.V. with economic results that are comparable to the economic results of ownership of the Subject Shares. All balances will be exclusively cash settled.</w:t>
      </w:r>
    </w:p>
    <w:p>
      <w:pPr>
        <w:spacing w:after="0" w:line="18" w:lineRule="exact"/>
        <w:rPr>
          <w:rFonts w:ascii="Times New Roman" w:cs="Times New Roman" w:eastAsia="Times New Roman" w:hAnsi="Times New Roman"/>
          <w:sz w:val="12"/>
          <w:szCs w:val="12"/>
          <w:color w:val="008000"/>
        </w:rPr>
      </w:pPr>
    </w:p>
    <w:p>
      <w:pPr>
        <w:ind w:left="20" w:right="20" w:hanging="5"/>
        <w:spacing w:after="0" w:line="246"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12, 2026, JAB Holdings B.V. and the Dealer agreed to extend the term of the Long Swap to August 10, 2028 for no additional consideration, although JAB Holdings B.V. has the right to terminate and close out the Long Swap during certain specified earlier periods if it so chooses. The extension resulted in a deemed cancellation of the existing Long Swap and a deemed entry into a new Long Swap with a later settlement date. The deemed cancellation is exempt from Sections 16(a) and 16(b) of the Securities Exchange Act of 1934, as amended, pursuant to Rules 16a-4(d) and 16b-6(d) promulgated thereunder, respectively. JAB Holdings B.V.'s exposure with respect to the Subject Shares remains unchanged, and the Long Swap remains in full force and effect.</w:t>
      </w:r>
    </w:p>
    <w:p>
      <w:pPr>
        <w:spacing w:after="0" w:line="22" w:lineRule="exact"/>
        <w:rPr>
          <w:rFonts w:ascii="Times New Roman" w:cs="Times New Roman" w:eastAsia="Times New Roman" w:hAnsi="Times New Roman"/>
          <w:sz w:val="12"/>
          <w:szCs w:val="12"/>
          <w:color w:val="008000"/>
        </w:rPr>
      </w:pPr>
    </w:p>
    <w:p>
      <w:pPr>
        <w:ind w:left="20" w:hanging="5"/>
        <w:spacing w:after="0" w:line="246"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Long Swap (but not the Subject Shares referenced thereby) is owned by JAB Holdings B.V., a direct or indirect subsidiary of each other Reporting Person herein. The Long Swap does not give JAB Holdings B.V. direct or indirect voting, investment or dispositive control over any securities of the Company or require the Dealer to acquire, hold, vote or dispose of any securities of the Company. Each Reporting Person disclaims beneficial ownership of the securities reported herein, including the Subject Shares, except to the extent of its pecuniary interest therein, and this Form 4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28" w:right="499" w:bottom="930"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Sebastiaan Wolvers,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9391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3916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of JAB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087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Holdings B.V.; /s/ Rafael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3277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Director of JAB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0877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Holdings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5746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74675" cy="7620"/>
                    </a:xfrm>
                    <a:prstGeom prst="rect">
                      <a:avLst/>
                    </a:prstGeom>
                    <a:noFill/>
                  </pic:spPr>
                </pic:pic>
              </a:graphicData>
            </a:graphic>
          </wp:anchor>
        </w:drawing>
      </w:r>
    </w:p>
    <w:p>
      <w:pPr>
        <w:spacing w:after="0" w:line="2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Sebastiaan Wolvers,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13239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of JAB Investments s.a r.l.;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2198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198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Jonathan Norman,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2363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JAB Investments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961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61390" cy="7620"/>
                    </a:xfrm>
                    <a:prstGeom prst="rect">
                      <a:avLst/>
                    </a:prstGeom>
                    <a:noFill/>
                  </pic:spPr>
                </pic:pic>
              </a:graphicData>
            </a:graphic>
          </wp:anchor>
        </w:drawing>
      </w:r>
    </w:p>
    <w:p>
      <w:pPr>
        <w:spacing w:after="0" w:line="2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Frank Engelen,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12338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JAB Holding Company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2509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 Jonathan Norman,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13569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JAB Holding Company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2230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spacing w:after="0" w:line="2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Joachim Creus,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12166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1666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Joh. A. Benckiser B.V.;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0718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7188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Jonathan Norman,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12141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Joh. A. Benckiser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9226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610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610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610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610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8720" w:space="60"/>
            <w:col w:w="2140"/>
          </w:cols>
          <w:pgMar w:left="480" w:top="128" w:right="499" w:bottom="930" w:gutter="0" w:footer="0" w:header="0"/>
          <w:type w:val="continuous"/>
        </w:sectPr>
      </w:pPr>
    </w:p>
    <w:tbl>
      <w:tblPr>
        <w:tblLayout w:type="fixed"/>
        <w:tblInd w:w="658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Joachim Creus, Authorized</w:t>
            </w:r>
          </w:p>
        </w:tc>
        <w:tc>
          <w:tcPr>
            <w:tcW w:w="140" w:type="dxa"/>
            <w:vAlign w:val="bottom"/>
            <w:gridSpan w:val="2"/>
          </w:tcPr>
          <w:p>
            <w:pPr>
              <w:spacing w:after="0"/>
              <w:rPr>
                <w:sz w:val="16"/>
                <w:szCs w:val="16"/>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5"/>
              </w:rPr>
              <w:t>06/16/2026</w:t>
            </w:r>
          </w:p>
        </w:tc>
        <w:tc>
          <w:tcPr>
            <w:tcW w:w="0" w:type="dxa"/>
            <w:vAlign w:val="bottom"/>
          </w:tcPr>
          <w:p>
            <w:pPr>
              <w:spacing w:after="0"/>
              <w:rPr>
                <w:sz w:val="1"/>
                <w:szCs w:val="1"/>
                <w:color w:val="auto"/>
              </w:rPr>
            </w:pPr>
          </w:p>
        </w:tc>
      </w:tr>
      <w:tr>
        <w:trPr>
          <w:trHeight w:val="78"/>
        </w:trPr>
        <w:tc>
          <w:tcPr>
            <w:tcW w:w="1960" w:type="dxa"/>
            <w:vAlign w:val="bottom"/>
            <w:gridSpan w:val="3"/>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8"/>
              </w:rPr>
              <w:t>Representative of Lucresca SE</w:t>
            </w: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960" w:type="dxa"/>
            <w:vAlign w:val="bottom"/>
            <w:tcBorders>
              <w:bottom w:val="single" w:sz="8" w:color="auto"/>
            </w:tcBorders>
            <w:gridSpan w:val="3"/>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Joachim Creus, Authorized</w:t>
            </w:r>
          </w:p>
        </w:tc>
        <w:tc>
          <w:tcPr>
            <w:tcW w:w="140" w:type="dxa"/>
            <w:vAlign w:val="bottom"/>
            <w:gridSpan w:val="2"/>
          </w:tcPr>
          <w:p>
            <w:pPr>
              <w:spacing w:after="0"/>
              <w:rPr>
                <w:sz w:val="19"/>
                <w:szCs w:val="19"/>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5"/>
              </w:rPr>
              <w:t>06/16/2026</w:t>
            </w:r>
          </w:p>
        </w:tc>
        <w:tc>
          <w:tcPr>
            <w:tcW w:w="0" w:type="dxa"/>
            <w:vAlign w:val="bottom"/>
          </w:tcPr>
          <w:p>
            <w:pPr>
              <w:spacing w:after="0"/>
              <w:rPr>
                <w:sz w:val="1"/>
                <w:szCs w:val="1"/>
                <w:color w:val="auto"/>
              </w:rPr>
            </w:pPr>
          </w:p>
        </w:tc>
      </w:tr>
      <w:tr>
        <w:trPr>
          <w:trHeight w:val="78"/>
        </w:trPr>
        <w:tc>
          <w:tcPr>
            <w:tcW w:w="1920" w:type="dxa"/>
            <w:vAlign w:val="bottom"/>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8"/>
              </w:rPr>
              <w:t>Representative of Agnaten SE</w:t>
            </w:r>
          </w:p>
        </w:tc>
        <w:tc>
          <w:tcPr>
            <w:tcW w:w="160" w:type="dxa"/>
            <w:vAlign w:val="bottom"/>
            <w:gridSpan w:val="3"/>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920" w:type="dxa"/>
            <w:vAlign w:val="bottom"/>
            <w:tcBorders>
              <w:bottom w:val="single" w:sz="8" w:color="auto"/>
            </w:tcBorders>
            <w:vMerge w:val="continue"/>
          </w:tcPr>
          <w:p>
            <w:pPr>
              <w:spacing w:after="0"/>
              <w:rPr>
                <w:sz w:val="6"/>
                <w:szCs w:val="6"/>
                <w:color w:val="auto"/>
              </w:rPr>
            </w:pPr>
          </w:p>
        </w:tc>
        <w:tc>
          <w:tcPr>
            <w:tcW w:w="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8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20" w:right="3840" w:hanging="5"/>
        <w:spacing w:after="0" w:line="319" w:lineRule="auto"/>
        <w:tabs>
          <w:tab w:leader="none" w:pos="14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13" Type="http://schemas.openxmlformats.org/officeDocument/2006/relationships/hyperlink" Target="http://www.sec.gov/cgi-bin/browse-edgar?action=getcompany&amp;CIK=0001579134" TargetMode="External"/><Relationship Id="rId14" Type="http://schemas.openxmlformats.org/officeDocument/2006/relationships/hyperlink" Target="http://www.sec.gov/cgi-bin/browse-edgar?action=getcompany&amp;CIK=0001857154" TargetMode="External"/><Relationship Id="rId16" Type="http://schemas.openxmlformats.org/officeDocument/2006/relationships/hyperlink" Target="http://www.sec.gov/cgi-bin/browse-edgar?action=getcompany&amp;CIK=0001747036" TargetMode="External"/><Relationship Id="rId17" Type="http://schemas.openxmlformats.org/officeDocument/2006/relationships/hyperlink" Target="http://www.sec.gov/cgi-bin/browse-edgar?action=getcompany&amp;CIK=0001621428" TargetMode="External"/><Relationship Id="rId19" Type="http://schemas.openxmlformats.org/officeDocument/2006/relationships/hyperlink" Target="http://www.sec.gov/cgi-bin/browse-edgar?action=getcompany&amp;CIK=0001746867" TargetMode="External"/><Relationship Id="rId20" Type="http://schemas.openxmlformats.org/officeDocument/2006/relationships/hyperlink" Target="http://www.sec.gov/cgi-bin/browse-edgar?action=getcompany&amp;CIK=0001579044" TargetMode="External"/><Relationship Id="rId21" Type="http://schemas.openxmlformats.org/officeDocument/2006/relationships/hyperlink" Target="http://www.sec.gov/cgi-bin/browse-edgar?action=getcompany&amp;CIK=0001394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2026-06-16T15:22:08Z</dcterms:created>
  <dcterms:modified xsi:type="dcterms:W3CDTF">2026-06-16T15:22:08Z</dcterms:modified>
</cp:coreProperties>
</file>