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10, 2026</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0" w:after="0"/>
        <w:jc w:val="center"/>
        <w:rPr/>
      </w:pPr>
      <w:r>
        <w:rPr/>
      </w:r>
    </w:p>
    <w:p>
      <w:pPr>
        <w:pStyle w:val="TextBody"/>
        <w:bidi w:val="0"/>
        <w:spacing w:before="0" w:after="0"/>
        <w:jc w:val="center"/>
        <w:rPr/>
      </w:pPr>
      <w:r>
        <w:rPr/>
        <w:drawing>
          <wp:inline distT="0" distB="0" distL="0" distR="0">
            <wp:extent cx="174307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5905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Krispy Kreme,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0" w:after="0"/>
        <w:jc w:val="left"/>
        <w:rPr/>
      </w:pPr>
      <w:r>
        <w:rPr/>
      </w:r>
    </w:p>
    <w:tbl>
      <w:tblPr>
        <w:tblW w:w="7707" w:type="dxa"/>
        <w:jc w:val="left"/>
        <w:tblInd w:w="0" w:type="dxa"/>
        <w:tblLayout w:type="fixed"/>
        <w:tblCellMar>
          <w:top w:w="28" w:type="dxa"/>
          <w:left w:w="28" w:type="dxa"/>
          <w:bottom w:w="28" w:type="dxa"/>
          <w:right w:w="28" w:type="dxa"/>
        </w:tblCellMar>
      </w:tblPr>
      <w:tblGrid>
        <w:gridCol w:w="1148"/>
        <w:gridCol w:w="1008"/>
        <w:gridCol w:w="1023"/>
        <w:gridCol w:w="662"/>
        <w:gridCol w:w="662"/>
        <w:gridCol w:w="670"/>
        <w:gridCol w:w="740"/>
        <w:gridCol w:w="740"/>
        <w:gridCol w:w="1054"/>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001-40573</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37-1701311</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2116 Hawkins Street, Suite 101, Charlotte, North Carolina 28203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 457-4779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302"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0" w:after="0"/>
        <w:jc w:val="center"/>
        <w:rPr/>
      </w:pPr>
      <w:r>
        <w:rPr/>
      </w:r>
    </w:p>
    <w:p>
      <w:pPr>
        <w:pStyle w:val="TextBody"/>
        <w:bidi w:val="0"/>
        <w:spacing w:lineRule="auto" w:line="302"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288" w:before="0" w:after="0"/>
        <w:ind w:left="0" w:right="0" w:hanging="1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1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1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1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361" w:type="dxa"/>
        <w:jc w:val="left"/>
        <w:tblInd w:w="0" w:type="dxa"/>
        <w:tblLayout w:type="fixed"/>
        <w:tblCellMar>
          <w:top w:w="28" w:type="dxa"/>
          <w:left w:w="28" w:type="dxa"/>
          <w:bottom w:w="28" w:type="dxa"/>
          <w:right w:w="28" w:type="dxa"/>
        </w:tblCellMar>
      </w:tblPr>
      <w:tblGrid>
        <w:gridCol w:w="124"/>
        <w:gridCol w:w="109"/>
        <w:gridCol w:w="109"/>
        <w:gridCol w:w="1147"/>
        <w:gridCol w:w="1147"/>
        <w:gridCol w:w="1155"/>
        <w:gridCol w:w="109"/>
        <w:gridCol w:w="109"/>
        <w:gridCol w:w="109"/>
        <w:gridCol w:w="424"/>
        <w:gridCol w:w="424"/>
        <w:gridCol w:w="426"/>
        <w:gridCol w:w="109"/>
        <w:gridCol w:w="109"/>
        <w:gridCol w:w="109"/>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DNUT</w:t>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2"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7"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20" w:after="283"/>
        <w:jc w:val="both"/>
        <w:rPr/>
      </w:pPr>
      <w:r>
        <w:rPr>
          <w:rFonts w:ascii="Times New Roman;serif" w:hAnsi="Times New Roman;serif"/>
          <w:b w:val="false"/>
          <w:color w:val="000000"/>
          <w:sz w:val="20"/>
        </w:rPr>
        <w:t>On June 10, 2026, Krispy Kreme, Inc. (the “Company”) held its virtual annual meeting of stockholders (the “Annual Meeting”). The matters voted on at the Annual Meeting and the votes cast with respect to each matter are set forth below.</w:t>
      </w:r>
      <w:r>
        <w:rPr>
          <w:color w:val="000000"/>
        </w:rPr>
        <w:t xml:space="preserve">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Proposal 1: Election of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stockholders elected eight directors to hold office for a one-year term and until his or her successor shall have been elected and qualified.</w:t>
      </w:r>
    </w:p>
    <w:tbl>
      <w:tblPr>
        <w:tblW w:w="8120" w:type="dxa"/>
        <w:jc w:val="left"/>
        <w:tblInd w:w="0" w:type="dxa"/>
        <w:tblLayout w:type="fixed"/>
        <w:tblCellMar>
          <w:top w:w="28" w:type="dxa"/>
          <w:left w:w="28" w:type="dxa"/>
          <w:bottom w:w="28" w:type="dxa"/>
          <w:right w:w="28" w:type="dxa"/>
        </w:tblCellMar>
      </w:tblPr>
      <w:tblGrid>
        <w:gridCol w:w="651"/>
        <w:gridCol w:w="573"/>
        <w:gridCol w:w="576"/>
        <w:gridCol w:w="593"/>
        <w:gridCol w:w="593"/>
        <w:gridCol w:w="171"/>
        <w:gridCol w:w="488"/>
        <w:gridCol w:w="488"/>
        <w:gridCol w:w="326"/>
        <w:gridCol w:w="495"/>
        <w:gridCol w:w="495"/>
        <w:gridCol w:w="496"/>
        <w:gridCol w:w="637"/>
        <w:gridCol w:w="637"/>
        <w:gridCol w:w="901"/>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135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FOR</w:t>
            </w:r>
          </w:p>
        </w:tc>
        <w:tc>
          <w:tcPr>
            <w:tcW w:w="13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AGAINST</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ABSTENTIONS</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BROKER NON-VOTES</w:t>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Capel</w:t>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104,046,234 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3,894,509 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74,014 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19,230,549 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Joshua Charlesworth</w:t>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107,399,529 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545,963 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69,265 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19,230,549 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Deno</w:t>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107,559,386 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387,512 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67,859 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19,230,549 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Grismer</w:t>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107,604,679 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338,819 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71,259 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19,230,549 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Bernardo Hees</w:t>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104,410,673 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3,526,106 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77,978 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19,230,549 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Shear</w:t>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107,599,348 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343,702 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71,707 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19,230,549 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Easwaran Sundaram</w:t>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102,192,092 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5,021,273 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801,392 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19,230,549 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Melissa Werneck</w:t>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107,171,754 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775,353 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67,650 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19,230,549 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Proposal 2: Advisory Resolution to Approve Executive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stockholders approved an advisory resolution regarding the Company’s executive compensation.</w:t>
      </w:r>
    </w:p>
    <w:tbl>
      <w:tblPr>
        <w:tblW w:w="5793" w:type="dxa"/>
        <w:jc w:val="left"/>
        <w:tblInd w:w="0" w:type="dxa"/>
        <w:tblLayout w:type="fixed"/>
        <w:tblCellMar>
          <w:top w:w="28" w:type="dxa"/>
          <w:left w:w="28" w:type="dxa"/>
          <w:bottom w:w="28" w:type="dxa"/>
          <w:right w:w="28" w:type="dxa"/>
        </w:tblCellMar>
      </w:tblPr>
      <w:tblGrid>
        <w:gridCol w:w="417"/>
        <w:gridCol w:w="367"/>
        <w:gridCol w:w="372"/>
        <w:gridCol w:w="325"/>
        <w:gridCol w:w="325"/>
        <w:gridCol w:w="326"/>
        <w:gridCol w:w="495"/>
        <w:gridCol w:w="495"/>
        <w:gridCol w:w="496"/>
        <w:gridCol w:w="637"/>
        <w:gridCol w:w="637"/>
        <w:gridCol w:w="901"/>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AGAINST</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ABSTENTIONS</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106,613,820</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1,323,673</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77,264</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19,230,549</w:t>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Proposal 3: Ratification of the Appointment of Independent Registered Public Accounting Firm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stockholders ratified the appointment of Grant Thornton LLP as the Company’s independent registered public accounting firm for fiscal year 2026.</w:t>
      </w:r>
    </w:p>
    <w:tbl>
      <w:tblPr>
        <w:tblW w:w="5793" w:type="dxa"/>
        <w:jc w:val="left"/>
        <w:tblInd w:w="0" w:type="dxa"/>
        <w:tblLayout w:type="fixed"/>
        <w:tblCellMar>
          <w:top w:w="28" w:type="dxa"/>
          <w:left w:w="28" w:type="dxa"/>
          <w:bottom w:w="28" w:type="dxa"/>
          <w:right w:w="28" w:type="dxa"/>
        </w:tblCellMar>
      </w:tblPr>
      <w:tblGrid>
        <w:gridCol w:w="417"/>
        <w:gridCol w:w="367"/>
        <w:gridCol w:w="372"/>
        <w:gridCol w:w="325"/>
        <w:gridCol w:w="325"/>
        <w:gridCol w:w="326"/>
        <w:gridCol w:w="495"/>
        <w:gridCol w:w="495"/>
        <w:gridCol w:w="496"/>
        <w:gridCol w:w="637"/>
        <w:gridCol w:w="637"/>
        <w:gridCol w:w="901"/>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AGAINST</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ABSTENTIONS</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126,062,729</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865,527</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317,050</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Proposal 4: Approval of Amendment and Restatement of the Company’s 2021 Omnibus Incentive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stockholders approved the Amendment and Restatement of the Krispy Kreme, Inc. 2021 Omnibus Incentive Plan.</w:t>
      </w:r>
    </w:p>
    <w:tbl>
      <w:tblPr>
        <w:tblW w:w="5748" w:type="dxa"/>
        <w:jc w:val="left"/>
        <w:tblInd w:w="0" w:type="dxa"/>
        <w:tblLayout w:type="fixed"/>
        <w:tblCellMar>
          <w:top w:w="28" w:type="dxa"/>
          <w:left w:w="28" w:type="dxa"/>
          <w:bottom w:w="28" w:type="dxa"/>
          <w:right w:w="28" w:type="dxa"/>
        </w:tblCellMar>
      </w:tblPr>
      <w:tblGrid>
        <w:gridCol w:w="379"/>
        <w:gridCol w:w="333"/>
        <w:gridCol w:w="339"/>
        <w:gridCol w:w="344"/>
        <w:gridCol w:w="344"/>
        <w:gridCol w:w="348"/>
        <w:gridCol w:w="495"/>
        <w:gridCol w:w="495"/>
        <w:gridCol w:w="496"/>
        <w:gridCol w:w="637"/>
        <w:gridCol w:w="637"/>
        <w:gridCol w:w="901"/>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AGAINST</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ABSTENTIONS</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85,938,583</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21,269,870</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806,304</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19,230,549</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stockholder proposal to amend the Company’s governing documents to replace supermajority voting requirements with simple majority voting requirements was not voted on because it was not properly presented as the proponent failed to attend, or cause a qualified representative to attend, the Annual Meeting and present the proposal. If the stockholder proposal had been properly presented, the proposal would not have been approved by the Company’s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302" w:before="0" w:after="0"/>
        <w:jc w:val="left"/>
        <w:rPr/>
      </w:pPr>
      <w:r>
        <w:rPr>
          <w:rFonts w:ascii="Times New Roman;serif" w:hAnsi="Times New Roman;serif"/>
          <w:b w:val="false"/>
          <w:color w:val="000000"/>
          <w:sz w:val="20"/>
        </w:rPr>
        <w:t>Pursuant to the require</w:t>
      </w:r>
      <w:r>
        <w:rPr>
          <w:rFonts w:ascii="Times New Roman;serif" w:hAnsi="Times New Roman;serif"/>
          <w:b w:val="false"/>
          <w:color w:val="000000"/>
          <w:sz w:val="20"/>
          <w:shd w:fill="FFFFFF" w:val="clear"/>
        </w:rPr>
        <w:t>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KRISPY KREME,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Da</w:t>
      </w:r>
      <w:r>
        <w:rPr>
          <w:rFonts w:ascii="Times New Roman;serif" w:hAnsi="Times New Roman;serif"/>
          <w:b w:val="false"/>
          <w:color w:val="000000"/>
          <w:sz w:val="20"/>
        </w:rPr>
        <w:t>ted: June 12,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By:    /s/ </w:t>
      </w:r>
      <w:r>
        <w:rPr>
          <w:rFonts w:ascii="Times New Roman;serif" w:hAnsi="Times New Roman;serif"/>
          <w:b w:val="false"/>
          <w:color w:val="000000"/>
          <w:sz w:val="20"/>
        </w:rPr>
        <w:t>Atiba Adams</w:t>
      </w:r>
    </w:p>
    <w:tbl>
      <w:tblPr>
        <w:tblW w:w="4349" w:type="dxa"/>
        <w:jc w:val="left"/>
        <w:tblInd w:w="0" w:type="dxa"/>
        <w:tblLayout w:type="fixed"/>
        <w:tblCellMar>
          <w:top w:w="28" w:type="dxa"/>
          <w:left w:w="28" w:type="dxa"/>
          <w:bottom w:w="28" w:type="dxa"/>
          <w:right w:w="28" w:type="dxa"/>
        </w:tblCellMar>
      </w:tblPr>
      <w:tblGrid>
        <w:gridCol w:w="233"/>
        <w:gridCol w:w="205"/>
        <w:gridCol w:w="207"/>
        <w:gridCol w:w="1080"/>
        <w:gridCol w:w="1080"/>
        <w:gridCol w:w="154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Atiba Adams</w:t>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4092</Characters>
  <CharactersWithSpaces>4687</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